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F50EF" w14:textId="705CE942" w:rsidR="00750B28" w:rsidRDefault="00750B28" w:rsidP="00EE0CA2">
      <w:pPr>
        <w:spacing w:line="360" w:lineRule="auto"/>
        <w:rPr>
          <w:b/>
          <w:lang w:val="fr-FR"/>
        </w:rPr>
      </w:pPr>
      <w:r>
        <w:rPr>
          <w:b/>
          <w:lang w:val="fr-FR"/>
        </w:rPr>
        <w:t>LES DROITS DES AUTOCHTONES AMÉRICAINS ET CANADIENS : UNE BRÈVE COMPAR</w:t>
      </w:r>
      <w:r w:rsidR="007A2822">
        <w:rPr>
          <w:b/>
          <w:lang w:val="fr-FR"/>
        </w:rPr>
        <w:t>A</w:t>
      </w:r>
      <w:r>
        <w:rPr>
          <w:b/>
          <w:lang w:val="fr-FR"/>
        </w:rPr>
        <w:t xml:space="preserve">ISON </w:t>
      </w:r>
    </w:p>
    <w:p w14:paraId="5A90A023" w14:textId="77777777" w:rsidR="00750B28" w:rsidRDefault="00750B28" w:rsidP="00EE0CA2">
      <w:pPr>
        <w:spacing w:line="360" w:lineRule="auto"/>
        <w:rPr>
          <w:b/>
          <w:lang w:val="fr-FR"/>
        </w:rPr>
      </w:pPr>
    </w:p>
    <w:p w14:paraId="795C4B35" w14:textId="77777777" w:rsidR="00750B28" w:rsidRPr="00750B28" w:rsidRDefault="00750B28" w:rsidP="00EE0CA2">
      <w:pPr>
        <w:spacing w:line="360" w:lineRule="auto"/>
        <w:rPr>
          <w:b/>
          <w:lang w:val="fr-FR"/>
        </w:rPr>
      </w:pPr>
      <w:r>
        <w:rPr>
          <w:b/>
          <w:lang w:val="fr-FR"/>
        </w:rPr>
        <w:t xml:space="preserve">Préparé par David </w:t>
      </w:r>
      <w:proofErr w:type="spellStart"/>
      <w:r>
        <w:rPr>
          <w:b/>
          <w:lang w:val="fr-FR"/>
        </w:rPr>
        <w:t>Leitch</w:t>
      </w:r>
      <w:proofErr w:type="spellEnd"/>
      <w:r>
        <w:rPr>
          <w:b/>
          <w:lang w:val="fr-FR"/>
        </w:rPr>
        <w:t xml:space="preserve"> </w:t>
      </w:r>
    </w:p>
    <w:p w14:paraId="64BE310E" w14:textId="77777777" w:rsidR="00750B28" w:rsidRPr="00750B28" w:rsidRDefault="00750B28" w:rsidP="00750B28">
      <w:pPr>
        <w:pStyle w:val="ListParagraph"/>
        <w:spacing w:line="360" w:lineRule="auto"/>
        <w:ind w:left="360"/>
        <w:rPr>
          <w:lang w:val="fr-FR"/>
        </w:rPr>
      </w:pPr>
    </w:p>
    <w:p w14:paraId="6F6CC937" w14:textId="12F5C4DA" w:rsidR="00750B28" w:rsidRPr="00750B28" w:rsidRDefault="002F0A13" w:rsidP="00750B28">
      <w:pPr>
        <w:spacing w:line="360" w:lineRule="auto"/>
        <w:rPr>
          <w:b/>
          <w:lang w:val="fr-FR"/>
        </w:rPr>
      </w:pPr>
      <w:r>
        <w:rPr>
          <w:b/>
          <w:lang w:val="fr-FR"/>
        </w:rPr>
        <w:t xml:space="preserve">Similarités </w:t>
      </w:r>
      <w:r w:rsidR="00750B28">
        <w:rPr>
          <w:b/>
          <w:lang w:val="fr-FR"/>
        </w:rPr>
        <w:t xml:space="preserve">principales </w:t>
      </w:r>
    </w:p>
    <w:p w14:paraId="3B7028BC" w14:textId="77777777" w:rsidR="00750B28" w:rsidRDefault="00750B28" w:rsidP="00750B28">
      <w:pPr>
        <w:pStyle w:val="ListParagraph"/>
        <w:spacing w:line="360" w:lineRule="auto"/>
        <w:ind w:left="360"/>
        <w:rPr>
          <w:lang w:val="fr-FR"/>
        </w:rPr>
      </w:pPr>
    </w:p>
    <w:p w14:paraId="58D7818C" w14:textId="77777777" w:rsidR="002E5258" w:rsidRDefault="00EE0CA2" w:rsidP="00EE0CA2">
      <w:pPr>
        <w:pStyle w:val="ListParagraph"/>
        <w:numPr>
          <w:ilvl w:val="0"/>
          <w:numId w:val="1"/>
        </w:numPr>
        <w:spacing w:line="360" w:lineRule="auto"/>
        <w:rPr>
          <w:lang w:val="fr-FR"/>
        </w:rPr>
      </w:pPr>
      <w:r w:rsidRPr="00EE0CA2">
        <w:rPr>
          <w:lang w:val="fr-FR"/>
        </w:rPr>
        <w:t>La souveraineté prétendue du Canada et des États-Unis sur les territoires autochtones a toujours été tout simplement présumée ou acceptée devant les tribunaux judiciair</w:t>
      </w:r>
      <w:r>
        <w:rPr>
          <w:lang w:val="fr-FR"/>
        </w:rPr>
        <w:t>es des deux pays. Il semble qu’</w:t>
      </w:r>
      <w:r w:rsidRPr="00EE0CA2">
        <w:rPr>
          <w:lang w:val="fr-FR"/>
        </w:rPr>
        <w:t xml:space="preserve">il s’agisse d’une question sur laquelle on ne </w:t>
      </w:r>
      <w:r>
        <w:rPr>
          <w:lang w:val="fr-FR"/>
        </w:rPr>
        <w:t xml:space="preserve">veut pas </w:t>
      </w:r>
      <w:r w:rsidRPr="00EE0CA2">
        <w:rPr>
          <w:lang w:val="fr-FR"/>
        </w:rPr>
        <w:t xml:space="preserve">se pencher de façon sérieuse en Amérique du nord. </w:t>
      </w:r>
    </w:p>
    <w:p w14:paraId="5E91BC1D" w14:textId="77777777" w:rsidR="00EE0CA2" w:rsidRPr="00EE0CA2" w:rsidRDefault="00EE0CA2" w:rsidP="00EE0CA2">
      <w:pPr>
        <w:pStyle w:val="ListParagraph"/>
        <w:spacing w:line="360" w:lineRule="auto"/>
        <w:ind w:left="360"/>
        <w:rPr>
          <w:lang w:val="fr-FR"/>
        </w:rPr>
      </w:pPr>
    </w:p>
    <w:p w14:paraId="26D21848" w14:textId="3034CE3C" w:rsidR="00750B28" w:rsidRDefault="00EE0CA2" w:rsidP="002F0A13">
      <w:pPr>
        <w:pStyle w:val="ListParagraph"/>
        <w:numPr>
          <w:ilvl w:val="0"/>
          <w:numId w:val="1"/>
        </w:numPr>
        <w:spacing w:line="360" w:lineRule="auto"/>
        <w:rPr>
          <w:lang w:val="fr-FR"/>
        </w:rPr>
      </w:pPr>
      <w:r w:rsidRPr="002F0A13">
        <w:rPr>
          <w:lang w:val="fr-FR"/>
        </w:rPr>
        <w:t xml:space="preserve">En revanche, les tribunaux des deux pays ont </w:t>
      </w:r>
      <w:r w:rsidR="00323259" w:rsidRPr="002F0A13">
        <w:rPr>
          <w:lang w:val="fr-FR"/>
        </w:rPr>
        <w:t xml:space="preserve">fait respecter l’interdiction de la vente des territoires autochtones </w:t>
      </w:r>
      <w:r w:rsidR="00293367" w:rsidRPr="002F0A13">
        <w:rPr>
          <w:lang w:val="fr-FR"/>
        </w:rPr>
        <w:t>à qui que ce soit sauf les gouvernements fédéraux de chaque pays, telle qu’</w:t>
      </w:r>
      <w:r w:rsidR="00323259" w:rsidRPr="002F0A13">
        <w:rPr>
          <w:lang w:val="fr-FR"/>
        </w:rPr>
        <w:t>imposée par la proclamation royale de 1763</w:t>
      </w:r>
      <w:r w:rsidR="00293367" w:rsidRPr="002F0A13">
        <w:rPr>
          <w:lang w:val="fr-FR"/>
        </w:rPr>
        <w:t>.</w:t>
      </w:r>
      <w:r w:rsidR="002F0A13" w:rsidRPr="002F0A13">
        <w:rPr>
          <w:lang w:val="fr-FR"/>
        </w:rPr>
        <w:t xml:space="preserve"> Donc</w:t>
      </w:r>
      <w:r w:rsidR="00293367" w:rsidRPr="002F0A13">
        <w:rPr>
          <w:lang w:val="fr-FR"/>
        </w:rPr>
        <w:t xml:space="preserve">, pour s’emparer des terres à </w:t>
      </w:r>
      <w:r w:rsidR="002F0A13" w:rsidRPr="002F0A13">
        <w:rPr>
          <w:lang w:val="fr-FR"/>
        </w:rPr>
        <w:t xml:space="preserve">donner </w:t>
      </w:r>
      <w:r w:rsidR="00293367" w:rsidRPr="002F0A13">
        <w:rPr>
          <w:lang w:val="fr-FR"/>
        </w:rPr>
        <w:t xml:space="preserve">aux nouveaux arrivés, ces deux gouvernements </w:t>
      </w:r>
      <w:r w:rsidR="002F0A13" w:rsidRPr="002F0A13">
        <w:rPr>
          <w:lang w:val="fr-FR"/>
        </w:rPr>
        <w:t>étaient tenus de</w:t>
      </w:r>
      <w:r w:rsidR="00782C07" w:rsidRPr="002F0A13">
        <w:rPr>
          <w:lang w:val="fr-FR"/>
        </w:rPr>
        <w:t xml:space="preserve"> n</w:t>
      </w:r>
      <w:r w:rsidR="00293367" w:rsidRPr="002F0A13">
        <w:rPr>
          <w:lang w:val="fr-FR"/>
        </w:rPr>
        <w:t xml:space="preserve">égocier les traités avec les autochtones. </w:t>
      </w:r>
      <w:r w:rsidR="00782C07" w:rsidRPr="002F0A13">
        <w:rPr>
          <w:lang w:val="fr-FR"/>
        </w:rPr>
        <w:t xml:space="preserve">Mais les États-Unis </w:t>
      </w:r>
      <w:r w:rsidR="002F0A13" w:rsidRPr="002F0A13">
        <w:rPr>
          <w:lang w:val="fr-FR"/>
        </w:rPr>
        <w:t>ont accédé à l’</w:t>
      </w:r>
      <w:r w:rsidR="00782C07" w:rsidRPr="002F0A13">
        <w:rPr>
          <w:lang w:val="fr-FR"/>
        </w:rPr>
        <w:t xml:space="preserve">indépendance cent ans avant le Canada </w:t>
      </w:r>
      <w:r w:rsidR="002F0A13" w:rsidRPr="002F0A13">
        <w:rPr>
          <w:lang w:val="fr-FR"/>
        </w:rPr>
        <w:t xml:space="preserve">ce qui fait que le </w:t>
      </w:r>
      <w:r w:rsidR="00782C07" w:rsidRPr="002F0A13">
        <w:rPr>
          <w:lang w:val="fr-FR"/>
        </w:rPr>
        <w:t xml:space="preserve">processus de négocier les traités </w:t>
      </w:r>
      <w:r w:rsidR="002F0A13" w:rsidRPr="002F0A13">
        <w:rPr>
          <w:lang w:val="fr-FR"/>
        </w:rPr>
        <w:t xml:space="preserve">s’est </w:t>
      </w:r>
      <w:r w:rsidR="00782C07" w:rsidRPr="002F0A13">
        <w:rPr>
          <w:lang w:val="fr-FR"/>
        </w:rPr>
        <w:t xml:space="preserve">terminé aux Etats-Unis juste avant qu’il </w:t>
      </w:r>
      <w:r w:rsidR="002F0A13" w:rsidRPr="002F0A13">
        <w:rPr>
          <w:lang w:val="fr-FR"/>
        </w:rPr>
        <w:t>ne commence</w:t>
      </w:r>
      <w:r w:rsidR="00782C07" w:rsidRPr="002F0A13">
        <w:rPr>
          <w:lang w:val="fr-FR"/>
        </w:rPr>
        <w:t xml:space="preserve"> au Canada en 1867, </w:t>
      </w:r>
      <w:r w:rsidR="00F34004" w:rsidRPr="002F0A13">
        <w:rPr>
          <w:lang w:val="fr-FR"/>
        </w:rPr>
        <w:t xml:space="preserve">après </w:t>
      </w:r>
      <w:r w:rsidR="00782C07" w:rsidRPr="002F0A13">
        <w:rPr>
          <w:lang w:val="fr-FR"/>
        </w:rPr>
        <w:t xml:space="preserve">la Confédération. </w:t>
      </w:r>
      <w:r w:rsidR="00F34004" w:rsidRPr="002F0A13">
        <w:rPr>
          <w:lang w:val="fr-FR"/>
        </w:rPr>
        <w:t>Il est vraisemblable que ce dé</w:t>
      </w:r>
      <w:r w:rsidR="002F0A13" w:rsidRPr="002F0A13">
        <w:rPr>
          <w:lang w:val="fr-FR"/>
        </w:rPr>
        <w:t>calage</w:t>
      </w:r>
      <w:r w:rsidR="00F34004" w:rsidRPr="002F0A13">
        <w:rPr>
          <w:lang w:val="fr-FR"/>
        </w:rPr>
        <w:t xml:space="preserve"> compte parmi les raisons pour lesquelles le processus </w:t>
      </w:r>
      <w:r w:rsidR="00F867B5" w:rsidRPr="002F0A13">
        <w:rPr>
          <w:lang w:val="fr-FR"/>
        </w:rPr>
        <w:t>de négoci</w:t>
      </w:r>
      <w:r w:rsidR="002F0A13" w:rsidRPr="002F0A13">
        <w:rPr>
          <w:lang w:val="fr-FR"/>
        </w:rPr>
        <w:t xml:space="preserve">ation de </w:t>
      </w:r>
      <w:r w:rsidR="00F867B5" w:rsidRPr="002F0A13">
        <w:rPr>
          <w:lang w:val="fr-FR"/>
        </w:rPr>
        <w:t xml:space="preserve">traités </w:t>
      </w:r>
      <w:r w:rsidR="00F34004" w:rsidRPr="002F0A13">
        <w:rPr>
          <w:lang w:val="fr-FR"/>
        </w:rPr>
        <w:t xml:space="preserve">fut moins violent au Canada qu’aux Etats-Unis. Il était </w:t>
      </w:r>
      <w:r w:rsidR="00625471" w:rsidRPr="002F0A13">
        <w:rPr>
          <w:lang w:val="fr-FR"/>
        </w:rPr>
        <w:t xml:space="preserve">bien connu au Canada </w:t>
      </w:r>
      <w:r w:rsidR="00F34004" w:rsidRPr="002F0A13">
        <w:rPr>
          <w:lang w:val="fr-FR"/>
        </w:rPr>
        <w:t>que la soumission des autochtones américains aux traités</w:t>
      </w:r>
      <w:r w:rsidR="002F0A13" w:rsidRPr="002F0A13">
        <w:rPr>
          <w:lang w:val="fr-FR"/>
        </w:rPr>
        <w:t xml:space="preserve"> avait été souvent précédée par d</w:t>
      </w:r>
      <w:r w:rsidR="00625471" w:rsidRPr="002F0A13">
        <w:rPr>
          <w:lang w:val="fr-FR"/>
        </w:rPr>
        <w:t>es guerres s</w:t>
      </w:r>
      <w:r w:rsidR="002F0A13" w:rsidRPr="002F0A13">
        <w:rPr>
          <w:lang w:val="fr-FR"/>
        </w:rPr>
        <w:t>anglantes. Ce fait, ainsi que la disparition</w:t>
      </w:r>
      <w:r w:rsidR="00625471" w:rsidRPr="002F0A13">
        <w:rPr>
          <w:lang w:val="fr-FR"/>
        </w:rPr>
        <w:t xml:space="preserve"> des troupeaux de bisons, aurait </w:t>
      </w:r>
      <w:r w:rsidR="002F0A13" w:rsidRPr="002F0A13">
        <w:rPr>
          <w:lang w:val="fr-FR"/>
        </w:rPr>
        <w:t>convaincu les autochtones</w:t>
      </w:r>
      <w:r w:rsidR="00625471" w:rsidRPr="002F0A13">
        <w:rPr>
          <w:lang w:val="fr-FR"/>
        </w:rPr>
        <w:t xml:space="preserve"> canadiens</w:t>
      </w:r>
      <w:r w:rsidR="002F0A13" w:rsidRPr="002F0A13">
        <w:rPr>
          <w:lang w:val="fr-FR"/>
        </w:rPr>
        <w:t xml:space="preserve"> </w:t>
      </w:r>
      <w:r w:rsidR="002F0A13">
        <w:rPr>
          <w:lang w:val="fr-FR"/>
        </w:rPr>
        <w:t>que la négociation des traités était</w:t>
      </w:r>
      <w:r w:rsidR="002F0A13" w:rsidRPr="002F0A13">
        <w:rPr>
          <w:lang w:val="fr-FR"/>
        </w:rPr>
        <w:t xml:space="preserve"> leur seule option. </w:t>
      </w:r>
    </w:p>
    <w:p w14:paraId="4DB78A1A" w14:textId="77777777" w:rsidR="002F0A13" w:rsidRPr="002F0A13" w:rsidRDefault="002F0A13" w:rsidP="002F0A13">
      <w:pPr>
        <w:spacing w:line="360" w:lineRule="auto"/>
        <w:rPr>
          <w:lang w:val="fr-FR"/>
        </w:rPr>
      </w:pPr>
    </w:p>
    <w:p w14:paraId="78541BB3" w14:textId="77777777" w:rsidR="002F0A13" w:rsidRPr="002F0A13" w:rsidRDefault="002F0A13" w:rsidP="002F0A13">
      <w:pPr>
        <w:spacing w:line="360" w:lineRule="auto"/>
        <w:rPr>
          <w:lang w:val="fr-FR"/>
        </w:rPr>
      </w:pPr>
    </w:p>
    <w:p w14:paraId="64FA571F" w14:textId="440E8B7B" w:rsidR="006E62F2" w:rsidRDefault="00C7782D" w:rsidP="006E62F2">
      <w:pPr>
        <w:pStyle w:val="ListParagraph"/>
        <w:numPr>
          <w:ilvl w:val="0"/>
          <w:numId w:val="1"/>
        </w:numPr>
        <w:spacing w:line="360" w:lineRule="auto"/>
        <w:rPr>
          <w:lang w:val="fr-FR"/>
        </w:rPr>
      </w:pPr>
      <w:r>
        <w:rPr>
          <w:lang w:val="fr-FR"/>
        </w:rPr>
        <w:lastRenderedPageBreak/>
        <w:t>De plus</w:t>
      </w:r>
      <w:r w:rsidR="00D73476">
        <w:rPr>
          <w:lang w:val="fr-FR"/>
        </w:rPr>
        <w:t xml:space="preserve">, </w:t>
      </w:r>
      <w:r>
        <w:rPr>
          <w:lang w:val="fr-FR"/>
        </w:rPr>
        <w:t>l</w:t>
      </w:r>
      <w:r w:rsidR="00F867B5">
        <w:rPr>
          <w:lang w:val="fr-FR"/>
        </w:rPr>
        <w:t>es règles d’interprétati</w:t>
      </w:r>
      <w:r>
        <w:rPr>
          <w:lang w:val="fr-FR"/>
        </w:rPr>
        <w:t xml:space="preserve">on des traités ont été </w:t>
      </w:r>
      <w:r w:rsidR="00466447">
        <w:rPr>
          <w:lang w:val="fr-FR"/>
        </w:rPr>
        <w:t xml:space="preserve">bien </w:t>
      </w:r>
      <w:r w:rsidR="00F867B5">
        <w:rPr>
          <w:lang w:val="fr-FR"/>
        </w:rPr>
        <w:t>établies aux Etats-Unis</w:t>
      </w:r>
      <w:r w:rsidR="00FF6D4E">
        <w:rPr>
          <w:rStyle w:val="FootnoteReference"/>
          <w:rFonts w:ascii="Times New Roman" w:hAnsi="Times New Roman" w:cs="Times New Roman"/>
        </w:rPr>
        <w:footnoteReference w:id="1"/>
      </w:r>
      <w:r w:rsidR="00FF6D4E">
        <w:rPr>
          <w:lang w:val="fr-FR"/>
        </w:rPr>
        <w:t xml:space="preserve"> </w:t>
      </w:r>
      <w:r w:rsidR="00466447">
        <w:rPr>
          <w:lang w:val="fr-FR"/>
        </w:rPr>
        <w:t xml:space="preserve">avant qu’elles </w:t>
      </w:r>
      <w:r w:rsidR="00D73476">
        <w:rPr>
          <w:lang w:val="fr-FR"/>
        </w:rPr>
        <w:t xml:space="preserve">ne </w:t>
      </w:r>
      <w:r w:rsidR="00466447">
        <w:rPr>
          <w:lang w:val="fr-FR"/>
        </w:rPr>
        <w:t xml:space="preserve">soient </w:t>
      </w:r>
      <w:r w:rsidR="00F867B5">
        <w:rPr>
          <w:lang w:val="fr-FR"/>
        </w:rPr>
        <w:t>adopté</w:t>
      </w:r>
      <w:r w:rsidR="00466447">
        <w:rPr>
          <w:lang w:val="fr-FR"/>
        </w:rPr>
        <w:t xml:space="preserve">es </w:t>
      </w:r>
      <w:r w:rsidR="00F867B5">
        <w:rPr>
          <w:lang w:val="fr-FR"/>
        </w:rPr>
        <w:t>au Canada</w:t>
      </w:r>
      <w:r w:rsidR="00FF6D4E">
        <w:rPr>
          <w:rStyle w:val="FootnoteReference"/>
          <w:rFonts w:ascii="Times New Roman" w:hAnsi="Times New Roman" w:cs="Times New Roman"/>
        </w:rPr>
        <w:footnoteReference w:id="2"/>
      </w:r>
      <w:r w:rsidR="00466447">
        <w:rPr>
          <w:lang w:val="fr-FR"/>
        </w:rPr>
        <w:t>. Toute ambiguïté dans un</w:t>
      </w:r>
      <w:r w:rsidR="006C4A0F">
        <w:rPr>
          <w:lang w:val="fr-FR"/>
        </w:rPr>
        <w:t xml:space="preserve"> traité doit</w:t>
      </w:r>
      <w:r w:rsidR="00F867B5">
        <w:rPr>
          <w:lang w:val="fr-FR"/>
        </w:rPr>
        <w:t xml:space="preserve"> être tranchée en faveur des autochtones et l</w:t>
      </w:r>
      <w:r w:rsidR="006C4A0F">
        <w:rPr>
          <w:lang w:val="fr-FR"/>
        </w:rPr>
        <w:t xml:space="preserve">eur compréhension du traité doit </w:t>
      </w:r>
      <w:r w:rsidR="00F867B5">
        <w:rPr>
          <w:lang w:val="fr-FR"/>
        </w:rPr>
        <w:t xml:space="preserve">être </w:t>
      </w:r>
      <w:r w:rsidR="00FF6D4E">
        <w:rPr>
          <w:lang w:val="fr-FR"/>
        </w:rPr>
        <w:t xml:space="preserve">toujours prise en considération. </w:t>
      </w:r>
      <w:r w:rsidR="00466447">
        <w:rPr>
          <w:lang w:val="fr-FR"/>
        </w:rPr>
        <w:t>Il va de même avec la jurisprudence statuant que toute agence gouvernementale qui prend en charges les intérêts autochtones sans bien les protéger par</w:t>
      </w:r>
      <w:r w:rsidR="00EC7E66">
        <w:rPr>
          <w:lang w:val="fr-FR"/>
        </w:rPr>
        <w:t xml:space="preserve"> </w:t>
      </w:r>
      <w:r w:rsidR="00D73476">
        <w:rPr>
          <w:lang w:val="fr-FR"/>
        </w:rPr>
        <w:t xml:space="preserve">la suite </w:t>
      </w:r>
      <w:r w:rsidR="00EC7E66">
        <w:rPr>
          <w:lang w:val="fr-FR"/>
        </w:rPr>
        <w:t xml:space="preserve">peut se faire poursuivre relativement au </w:t>
      </w:r>
      <w:r w:rsidR="00466447">
        <w:rPr>
          <w:lang w:val="fr-FR"/>
        </w:rPr>
        <w:t xml:space="preserve">manquement de ses devoirs </w:t>
      </w:r>
      <w:r w:rsidR="006E62F2">
        <w:rPr>
          <w:lang w:val="fr-FR"/>
        </w:rPr>
        <w:t xml:space="preserve">fiduciaires. Des arrêts à cet effet </w:t>
      </w:r>
      <w:r w:rsidR="00D73476">
        <w:rPr>
          <w:lang w:val="fr-FR"/>
        </w:rPr>
        <w:t xml:space="preserve">ont été </w:t>
      </w:r>
      <w:r w:rsidR="006E62F2">
        <w:rPr>
          <w:lang w:val="fr-FR"/>
        </w:rPr>
        <w:t>rendus en 1983</w:t>
      </w:r>
      <w:r w:rsidR="00FF6D4E" w:rsidRPr="00030B6B">
        <w:rPr>
          <w:rStyle w:val="FootnoteReference"/>
          <w:rFonts w:ascii="Times New Roman" w:hAnsi="Times New Roman" w:cs="Times New Roman"/>
        </w:rPr>
        <w:footnoteReference w:id="3"/>
      </w:r>
      <w:r w:rsidR="006E62F2">
        <w:rPr>
          <w:lang w:val="fr-FR"/>
        </w:rPr>
        <w:t xml:space="preserve"> aux Etats-Unis et l’année suivante au Canada</w:t>
      </w:r>
      <w:r w:rsidR="00750B28" w:rsidRPr="00030B6B">
        <w:rPr>
          <w:rStyle w:val="FootnoteReference"/>
          <w:rFonts w:ascii="Times New Roman" w:hAnsi="Times New Roman" w:cs="Times New Roman"/>
        </w:rPr>
        <w:footnoteReference w:id="4"/>
      </w:r>
      <w:r w:rsidR="006E62F2">
        <w:rPr>
          <w:lang w:val="fr-FR"/>
        </w:rPr>
        <w:t xml:space="preserve">. </w:t>
      </w:r>
    </w:p>
    <w:p w14:paraId="72ED3FB6" w14:textId="77777777" w:rsidR="00750B28" w:rsidRDefault="00750B28" w:rsidP="00750B28">
      <w:pPr>
        <w:spacing w:line="360" w:lineRule="auto"/>
        <w:rPr>
          <w:lang w:val="fr-FR"/>
        </w:rPr>
      </w:pPr>
    </w:p>
    <w:p w14:paraId="12B22833" w14:textId="77777777" w:rsidR="00750B28" w:rsidRPr="00750B28" w:rsidRDefault="00750B28" w:rsidP="00750B28">
      <w:pPr>
        <w:spacing w:line="360" w:lineRule="auto"/>
        <w:rPr>
          <w:b/>
          <w:lang w:val="fr-FR"/>
        </w:rPr>
      </w:pPr>
      <w:r>
        <w:rPr>
          <w:b/>
          <w:lang w:val="fr-FR"/>
        </w:rPr>
        <w:t xml:space="preserve">Différences principales </w:t>
      </w:r>
    </w:p>
    <w:p w14:paraId="57BCE266" w14:textId="77777777" w:rsidR="00750B28" w:rsidRPr="00750B28" w:rsidRDefault="00750B28" w:rsidP="00750B28">
      <w:pPr>
        <w:spacing w:line="360" w:lineRule="auto"/>
        <w:rPr>
          <w:lang w:val="fr-FR"/>
        </w:rPr>
      </w:pPr>
    </w:p>
    <w:p w14:paraId="044653E7" w14:textId="67002691" w:rsidR="006E62F2" w:rsidRDefault="006E62F2" w:rsidP="00150906">
      <w:pPr>
        <w:pStyle w:val="ListParagraph"/>
        <w:numPr>
          <w:ilvl w:val="0"/>
          <w:numId w:val="1"/>
        </w:numPr>
        <w:spacing w:line="360" w:lineRule="auto"/>
        <w:rPr>
          <w:lang w:val="fr-FR"/>
        </w:rPr>
      </w:pPr>
      <w:r>
        <w:rPr>
          <w:lang w:val="fr-FR"/>
        </w:rPr>
        <w:t>Le principe d’autonomie gouve</w:t>
      </w:r>
      <w:r w:rsidR="00D73476">
        <w:rPr>
          <w:lang w:val="fr-FR"/>
        </w:rPr>
        <w:t>rnementale autochtone remonte à</w:t>
      </w:r>
      <w:r>
        <w:rPr>
          <w:lang w:val="fr-FR"/>
        </w:rPr>
        <w:t xml:space="preserve"> be</w:t>
      </w:r>
      <w:r w:rsidR="00D73476">
        <w:rPr>
          <w:lang w:val="fr-FR"/>
        </w:rPr>
        <w:t>aucoup loin aux Etats-Unis par qu’</w:t>
      </w:r>
      <w:r>
        <w:rPr>
          <w:lang w:val="fr-FR"/>
        </w:rPr>
        <w:t xml:space="preserve">au Canada. Dans </w:t>
      </w:r>
      <w:r w:rsidR="00150906">
        <w:rPr>
          <w:lang w:val="fr-FR"/>
        </w:rPr>
        <w:t>les années 1830, la Cour suprême amér</w:t>
      </w:r>
      <w:r w:rsidR="00D73476">
        <w:rPr>
          <w:lang w:val="fr-FR"/>
        </w:rPr>
        <w:t>icaine a déclaré que la Nation C</w:t>
      </w:r>
      <w:r w:rsidR="00150906">
        <w:rPr>
          <w:lang w:val="fr-FR"/>
        </w:rPr>
        <w:t>herokee constituait « une nation à l’intérieur et dépendante des Etats-Unis … capable de gérer ses propres affaires et de se doter d’un gouvernement » [traduction non-officielle]</w:t>
      </w:r>
      <w:r w:rsidR="00750B28" w:rsidRPr="00030B6B">
        <w:rPr>
          <w:rStyle w:val="FootnoteReference"/>
          <w:rFonts w:ascii="Times New Roman" w:hAnsi="Times New Roman" w:cs="Times New Roman"/>
        </w:rPr>
        <w:footnoteReference w:id="5"/>
      </w:r>
      <w:r w:rsidR="00150906">
        <w:rPr>
          <w:lang w:val="fr-FR"/>
        </w:rPr>
        <w:t xml:space="preserve">. En effet, certaines tribus américaines, telles que les Navajo </w:t>
      </w:r>
      <w:r w:rsidR="00EC7E66">
        <w:rPr>
          <w:lang w:val="fr-FR"/>
        </w:rPr>
        <w:t xml:space="preserve">et les Cherokee, ont créé leurs </w:t>
      </w:r>
      <w:r w:rsidR="00553E9C">
        <w:rPr>
          <w:lang w:val="fr-FR"/>
        </w:rPr>
        <w:t xml:space="preserve">propres </w:t>
      </w:r>
      <w:r w:rsidR="00150906">
        <w:rPr>
          <w:lang w:val="fr-FR"/>
        </w:rPr>
        <w:t>autorités civiles et judiciaires</w:t>
      </w:r>
      <w:r w:rsidR="0043093B">
        <w:rPr>
          <w:lang w:val="fr-FR"/>
        </w:rPr>
        <w:t xml:space="preserve"> efficaces</w:t>
      </w:r>
      <w:r w:rsidR="00150906">
        <w:rPr>
          <w:lang w:val="fr-FR"/>
        </w:rPr>
        <w:t xml:space="preserve"> </w:t>
      </w:r>
      <w:r w:rsidR="00C7782D">
        <w:rPr>
          <w:lang w:val="fr-FR"/>
        </w:rPr>
        <w:t xml:space="preserve">même si </w:t>
      </w:r>
      <w:r w:rsidR="0043093B">
        <w:rPr>
          <w:lang w:val="fr-FR"/>
        </w:rPr>
        <w:t>les contestations de ressort continuent à se présenter</w:t>
      </w:r>
      <w:r w:rsidR="00553E9C">
        <w:rPr>
          <w:lang w:val="fr-FR"/>
        </w:rPr>
        <w:t xml:space="preserve">. </w:t>
      </w:r>
    </w:p>
    <w:p w14:paraId="190D672A" w14:textId="77777777" w:rsidR="00C7782D" w:rsidRPr="00C7782D" w:rsidRDefault="00C7782D" w:rsidP="00C7782D">
      <w:pPr>
        <w:spacing w:line="360" w:lineRule="auto"/>
        <w:rPr>
          <w:lang w:val="fr-FR"/>
        </w:rPr>
      </w:pPr>
    </w:p>
    <w:p w14:paraId="323B6A1C" w14:textId="6501CCB3" w:rsidR="00C7782D" w:rsidRPr="007854E8" w:rsidRDefault="00C7782D" w:rsidP="007854E8">
      <w:pPr>
        <w:pStyle w:val="ListParagraph"/>
        <w:numPr>
          <w:ilvl w:val="0"/>
          <w:numId w:val="1"/>
        </w:numPr>
        <w:spacing w:line="360" w:lineRule="auto"/>
        <w:rPr>
          <w:lang w:val="fr-FR"/>
        </w:rPr>
      </w:pPr>
      <w:r>
        <w:rPr>
          <w:lang w:val="fr-FR"/>
        </w:rPr>
        <w:t>Pourtant, en 1886, la Cour suprême américaine a également décidé que le gouvernement fédéral possédait la « compétence absolue (</w:t>
      </w:r>
      <w:proofErr w:type="spellStart"/>
      <w:r>
        <w:rPr>
          <w:lang w:val="fr-FR"/>
        </w:rPr>
        <w:t>plenary</w:t>
      </w:r>
      <w:proofErr w:type="spellEnd"/>
      <w:r>
        <w:rPr>
          <w:lang w:val="fr-FR"/>
        </w:rPr>
        <w:t xml:space="preserve"> power) » en</w:t>
      </w:r>
      <w:r w:rsidR="00750B28">
        <w:rPr>
          <w:lang w:val="fr-FR"/>
        </w:rPr>
        <w:t xml:space="preserve"> matière des tribus autochtones</w:t>
      </w:r>
      <w:r w:rsidR="00750B28" w:rsidRPr="00030B6B">
        <w:rPr>
          <w:rStyle w:val="FootnoteReference"/>
          <w:rFonts w:ascii="Times New Roman" w:hAnsi="Times New Roman" w:cs="Times New Roman"/>
        </w:rPr>
        <w:footnoteReference w:id="6"/>
      </w:r>
      <w:r w:rsidR="00750B28">
        <w:rPr>
          <w:lang w:val="fr-FR"/>
        </w:rPr>
        <w:t xml:space="preserve">. </w:t>
      </w:r>
      <w:r>
        <w:rPr>
          <w:lang w:val="fr-FR"/>
        </w:rPr>
        <w:t xml:space="preserve">En 1903, la Cour </w:t>
      </w:r>
      <w:r w:rsidR="00CE7DA4">
        <w:rPr>
          <w:lang w:val="fr-FR"/>
        </w:rPr>
        <w:t xml:space="preserve">est allée plus loin, affirmant que ce pouvoir du Congrès peut être exercé de façon unilatérale pour s’emporter </w:t>
      </w:r>
      <w:r w:rsidR="00CE7DA4">
        <w:rPr>
          <w:lang w:val="fr-FR"/>
        </w:rPr>
        <w:lastRenderedPageBreak/>
        <w:t>sur ou même supprim</w:t>
      </w:r>
      <w:r w:rsidR="00750B28">
        <w:rPr>
          <w:lang w:val="fr-FR"/>
        </w:rPr>
        <w:t>er les droits issus d’un traité</w:t>
      </w:r>
      <w:r w:rsidR="00750B28" w:rsidRPr="00030B6B">
        <w:rPr>
          <w:rStyle w:val="FootnoteReference"/>
          <w:rFonts w:ascii="Times New Roman" w:hAnsi="Times New Roman" w:cs="Times New Roman"/>
        </w:rPr>
        <w:footnoteReference w:id="7"/>
      </w:r>
      <w:r w:rsidR="00750B28">
        <w:rPr>
          <w:lang w:val="fr-FR"/>
        </w:rPr>
        <w:t xml:space="preserve">. </w:t>
      </w:r>
      <w:r w:rsidR="00CE7DA4" w:rsidRPr="007854E8">
        <w:rPr>
          <w:lang w:val="fr-FR"/>
        </w:rPr>
        <w:t xml:space="preserve">Dans la période après la deuxième guerre mondiale, le Congrès s’est servi de ce pouvoir </w:t>
      </w:r>
      <w:r w:rsidR="00750B28" w:rsidRPr="007854E8">
        <w:rPr>
          <w:lang w:val="fr-FR"/>
        </w:rPr>
        <w:t>pour abolir plus de 100 traités</w:t>
      </w:r>
      <w:r w:rsidR="00CE7DA4" w:rsidRPr="007854E8">
        <w:rPr>
          <w:lang w:val="fr-FR"/>
        </w:rPr>
        <w:t xml:space="preserve"> tout en déléguant, pour la première fois, </w:t>
      </w:r>
      <w:r w:rsidR="00A85CC7" w:rsidRPr="007854E8">
        <w:rPr>
          <w:lang w:val="fr-FR"/>
        </w:rPr>
        <w:t xml:space="preserve">la compétence criminelle et civile à </w:t>
      </w:r>
      <w:r w:rsidR="00D73476" w:rsidRPr="007854E8">
        <w:rPr>
          <w:lang w:val="fr-FR"/>
        </w:rPr>
        <w:t xml:space="preserve">l’égard de </w:t>
      </w:r>
      <w:r w:rsidR="00A85CC7" w:rsidRPr="007854E8">
        <w:rPr>
          <w:lang w:val="fr-FR"/>
        </w:rPr>
        <w:t>ces communautés autochtones aux gouvernements des états. Bien que le Congrès ait laissé tomber ces politiques dans les années soixante-dix, la compétence absolue du Congrès en</w:t>
      </w:r>
      <w:r w:rsidR="00D73476" w:rsidRPr="007854E8">
        <w:rPr>
          <w:lang w:val="fr-FR"/>
        </w:rPr>
        <w:t xml:space="preserve"> cette</w:t>
      </w:r>
      <w:r w:rsidR="00A85CC7" w:rsidRPr="007854E8">
        <w:rPr>
          <w:lang w:val="fr-FR"/>
        </w:rPr>
        <w:t xml:space="preserve"> matière </w:t>
      </w:r>
      <w:r w:rsidR="00F779DE" w:rsidRPr="007854E8">
        <w:rPr>
          <w:lang w:val="fr-FR"/>
        </w:rPr>
        <w:t xml:space="preserve">demeure et </w:t>
      </w:r>
      <w:r w:rsidR="00A85CC7" w:rsidRPr="007854E8">
        <w:rPr>
          <w:lang w:val="fr-FR"/>
        </w:rPr>
        <w:t>constitue une différence profonde avec la situation au Canada o</w:t>
      </w:r>
      <w:r w:rsidR="00F779DE" w:rsidRPr="007854E8">
        <w:rPr>
          <w:lang w:val="fr-FR"/>
        </w:rPr>
        <w:t xml:space="preserve">ù les droits issus du traités et les droit ancestraux des autochtones sont protégés par l’article 35 de la </w:t>
      </w:r>
      <w:r w:rsidR="00F779DE" w:rsidRPr="007854E8">
        <w:rPr>
          <w:i/>
          <w:lang w:val="fr-FR"/>
        </w:rPr>
        <w:t>Loi constitutionnelle de 1982</w:t>
      </w:r>
      <w:r w:rsidR="00750B28" w:rsidRPr="00030B6B">
        <w:rPr>
          <w:rStyle w:val="FootnoteReference"/>
          <w:rFonts w:ascii="Times New Roman" w:hAnsi="Times New Roman" w:cs="Times New Roman"/>
        </w:rPr>
        <w:footnoteReference w:id="8"/>
      </w:r>
      <w:r w:rsidR="00F779DE" w:rsidRPr="007854E8">
        <w:rPr>
          <w:lang w:val="fr-FR"/>
        </w:rPr>
        <w:t xml:space="preserve">. </w:t>
      </w:r>
    </w:p>
    <w:p w14:paraId="2C628253" w14:textId="77777777" w:rsidR="00F779DE" w:rsidRPr="00F779DE" w:rsidRDefault="00F779DE" w:rsidP="00F779DE">
      <w:pPr>
        <w:spacing w:line="360" w:lineRule="auto"/>
        <w:rPr>
          <w:lang w:val="fr-FR"/>
        </w:rPr>
      </w:pPr>
    </w:p>
    <w:p w14:paraId="5A2E6EEF" w14:textId="0EB3194F" w:rsidR="00F779DE" w:rsidRPr="00150906" w:rsidRDefault="00D73476" w:rsidP="00150906">
      <w:pPr>
        <w:pStyle w:val="ListParagraph"/>
        <w:numPr>
          <w:ilvl w:val="0"/>
          <w:numId w:val="1"/>
        </w:numPr>
        <w:spacing w:line="360" w:lineRule="auto"/>
        <w:rPr>
          <w:lang w:val="fr-FR"/>
        </w:rPr>
      </w:pPr>
      <w:r>
        <w:rPr>
          <w:lang w:val="fr-FR"/>
        </w:rPr>
        <w:t>En terminant</w:t>
      </w:r>
      <w:r w:rsidR="00F779DE">
        <w:rPr>
          <w:lang w:val="fr-FR"/>
        </w:rPr>
        <w:t xml:space="preserve">, je constate que l’honneur de la Couronne est un principe qui n’existe pas dans la jurisprudence américaine. Les arrêts récents de la Cour suprême du Canada </w:t>
      </w:r>
      <w:r w:rsidR="00FF6D4E">
        <w:rPr>
          <w:lang w:val="fr-FR"/>
        </w:rPr>
        <w:t xml:space="preserve">font valoir ce principe et pour éviter les questions épineuses </w:t>
      </w:r>
      <w:r w:rsidR="00750B28">
        <w:rPr>
          <w:lang w:val="fr-FR"/>
        </w:rPr>
        <w:t>par rapport aux compétences</w:t>
      </w:r>
      <w:r w:rsidR="00FF6D4E">
        <w:rPr>
          <w:lang w:val="fr-FR"/>
        </w:rPr>
        <w:t xml:space="preserve"> contestée</w:t>
      </w:r>
      <w:r w:rsidR="00750B28">
        <w:rPr>
          <w:lang w:val="fr-FR"/>
        </w:rPr>
        <w:t>s</w:t>
      </w:r>
      <w:r w:rsidR="00750B28" w:rsidRPr="00030B6B">
        <w:rPr>
          <w:rStyle w:val="FootnoteReference"/>
          <w:rFonts w:ascii="Times New Roman" w:hAnsi="Times New Roman" w:cs="Times New Roman"/>
        </w:rPr>
        <w:footnoteReference w:id="9"/>
      </w:r>
      <w:r w:rsidR="00FF6D4E">
        <w:rPr>
          <w:lang w:val="fr-FR"/>
        </w:rPr>
        <w:t xml:space="preserve"> et pour favoriser les réparations extrajudiciaires</w:t>
      </w:r>
      <w:r w:rsidR="00750B28" w:rsidRPr="00030B6B">
        <w:rPr>
          <w:rStyle w:val="FootnoteReference"/>
          <w:rFonts w:ascii="Times New Roman" w:hAnsi="Times New Roman" w:cs="Times New Roman"/>
        </w:rPr>
        <w:footnoteReference w:id="10"/>
      </w:r>
      <w:r w:rsidR="00FF6D4E">
        <w:rPr>
          <w:lang w:val="fr-FR"/>
        </w:rPr>
        <w:t xml:space="preserve">. Il s’agit d’un outil important pour rendre justice dans les affaires autochtones au Canada. Il se peut que les juges américains aient à leur disposition un outil semblable dont j’ignore le nom. Si oui, pardonnez mon ignorance mais je vous gage que son nom n’est pas l’honneur de la Couronne. </w:t>
      </w:r>
    </w:p>
    <w:sectPr w:rsidR="00F779DE" w:rsidRPr="00150906" w:rsidSect="007A28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D5EF9" w14:textId="77777777" w:rsidR="008E0245" w:rsidRDefault="008E0245" w:rsidP="00FF6D4E">
      <w:r>
        <w:separator/>
      </w:r>
    </w:p>
  </w:endnote>
  <w:endnote w:type="continuationSeparator" w:id="0">
    <w:p w14:paraId="5570118D" w14:textId="77777777" w:rsidR="008E0245" w:rsidRDefault="008E0245" w:rsidP="00FF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6F4A9" w14:textId="77777777" w:rsidR="007A2822" w:rsidRDefault="007A28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EF35B" w14:textId="77777777" w:rsidR="007A2822" w:rsidRDefault="007A28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D771C" w14:textId="77777777" w:rsidR="007A2822" w:rsidRDefault="007A28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1FC89" w14:textId="77777777" w:rsidR="008E0245" w:rsidRDefault="008E0245" w:rsidP="00FF6D4E">
      <w:r>
        <w:separator/>
      </w:r>
    </w:p>
  </w:footnote>
  <w:footnote w:type="continuationSeparator" w:id="0">
    <w:p w14:paraId="7FDA8AC0" w14:textId="77777777" w:rsidR="008E0245" w:rsidRDefault="008E0245" w:rsidP="00FF6D4E">
      <w:r>
        <w:continuationSeparator/>
      </w:r>
    </w:p>
  </w:footnote>
  <w:footnote w:id="1">
    <w:p w14:paraId="7115ACA8" w14:textId="77777777" w:rsidR="002F0A13" w:rsidRPr="007A2822" w:rsidRDefault="002F0A13" w:rsidP="00FF6D4E">
      <w:pPr>
        <w:pStyle w:val="FootnoteText"/>
        <w:rPr>
          <w:rFonts w:ascii="Times New Roman" w:hAnsi="Times New Roman" w:cs="Times New Roman"/>
          <w:sz w:val="20"/>
          <w:szCs w:val="20"/>
          <w:lang w:val="en-CA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The Marshall Trilogy: </w:t>
      </w:r>
      <w:r w:rsidRPr="00BD577F">
        <w:rPr>
          <w:rFonts w:ascii="Times New Roman" w:hAnsi="Times New Roman" w:cs="Times New Roman"/>
          <w:i/>
          <w:sz w:val="20"/>
          <w:szCs w:val="20"/>
        </w:rPr>
        <w:t>Johnson v. McIntosh</w:t>
      </w:r>
      <w:r>
        <w:rPr>
          <w:rFonts w:ascii="Times New Roman" w:hAnsi="Times New Roman" w:cs="Times New Roman"/>
          <w:sz w:val="20"/>
          <w:szCs w:val="20"/>
        </w:rPr>
        <w:t xml:space="preserve">, 21 U.S. (8 Wheat), 543 (1823), </w:t>
      </w:r>
      <w:r w:rsidRPr="00BD577F">
        <w:rPr>
          <w:rFonts w:ascii="Times New Roman" w:hAnsi="Times New Roman" w:cs="Times New Roman"/>
          <w:i/>
          <w:sz w:val="20"/>
          <w:szCs w:val="20"/>
        </w:rPr>
        <w:t>Cherokee Nation v. Georgia</w:t>
      </w:r>
      <w:r>
        <w:rPr>
          <w:rFonts w:ascii="Times New Roman" w:hAnsi="Times New Roman" w:cs="Times New Roman"/>
          <w:sz w:val="20"/>
          <w:szCs w:val="20"/>
        </w:rPr>
        <w:t xml:space="preserve">, 30 U.S. (5 Pet) 1 (1831), </w:t>
      </w:r>
      <w:r w:rsidRPr="00BD577F">
        <w:rPr>
          <w:rFonts w:ascii="Times New Roman" w:hAnsi="Times New Roman" w:cs="Times New Roman"/>
          <w:i/>
          <w:sz w:val="20"/>
          <w:szCs w:val="20"/>
        </w:rPr>
        <w:t>Worcester v. Georgia</w:t>
      </w:r>
      <w:r>
        <w:rPr>
          <w:rFonts w:ascii="Times New Roman" w:hAnsi="Times New Roman" w:cs="Times New Roman"/>
          <w:sz w:val="20"/>
          <w:szCs w:val="20"/>
        </w:rPr>
        <w:t>, 31 U.S. (6 Pet) 515 (1832)</w:t>
      </w:r>
    </w:p>
  </w:footnote>
  <w:footnote w:id="2">
    <w:p w14:paraId="678DA1D0" w14:textId="77777777" w:rsidR="002F0A13" w:rsidRPr="007A2822" w:rsidRDefault="002F0A13" w:rsidP="00FF6D4E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BD577F">
        <w:rPr>
          <w:rFonts w:ascii="Times New Roman" w:hAnsi="Times New Roman" w:cs="Times New Roman"/>
          <w:i/>
          <w:sz w:val="20"/>
          <w:szCs w:val="20"/>
        </w:rPr>
        <w:t>Marshall v. Canada (Marshall No.1)</w:t>
      </w:r>
      <w:r w:rsidRPr="00BD577F">
        <w:rPr>
          <w:rFonts w:ascii="Times New Roman" w:hAnsi="Times New Roman" w:cs="Times New Roman"/>
          <w:sz w:val="20"/>
          <w:szCs w:val="20"/>
        </w:rPr>
        <w:t>,</w:t>
      </w:r>
      <w:r w:rsidRPr="00BD577F">
        <w:rPr>
          <w:sz w:val="20"/>
          <w:szCs w:val="20"/>
        </w:rPr>
        <w:t xml:space="preserve"> [1999] 3 S.C.R. 456</w:t>
      </w:r>
    </w:p>
  </w:footnote>
  <w:footnote w:id="3">
    <w:p w14:paraId="3F85A146" w14:textId="77777777" w:rsidR="002F0A13" w:rsidRPr="007A2822" w:rsidRDefault="002F0A13" w:rsidP="00FF6D4E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BD577F">
        <w:rPr>
          <w:rFonts w:ascii="Times New Roman" w:hAnsi="Times New Roman" w:cs="Times New Roman"/>
          <w:i/>
          <w:sz w:val="20"/>
          <w:szCs w:val="20"/>
        </w:rPr>
        <w:t>United States v. Mitchell</w:t>
      </w:r>
      <w:r w:rsidRPr="00BD577F">
        <w:rPr>
          <w:rFonts w:ascii="Times New Roman" w:hAnsi="Times New Roman" w:cs="Times New Roman"/>
          <w:sz w:val="20"/>
          <w:szCs w:val="20"/>
        </w:rPr>
        <w:t>, 463 U.S. 206 (1983)</w:t>
      </w:r>
      <w:r>
        <w:t xml:space="preserve"> </w:t>
      </w:r>
    </w:p>
  </w:footnote>
  <w:footnote w:id="4">
    <w:p w14:paraId="0488C5D0" w14:textId="77777777" w:rsidR="002F0A13" w:rsidRPr="007A2822" w:rsidRDefault="002F0A13" w:rsidP="00750B28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BD577F">
        <w:rPr>
          <w:rFonts w:ascii="Times New Roman" w:hAnsi="Times New Roman" w:cs="Times New Roman"/>
          <w:i/>
          <w:sz w:val="20"/>
          <w:szCs w:val="20"/>
        </w:rPr>
        <w:t>Guerin v. Canada</w:t>
      </w:r>
      <w:r w:rsidRPr="00BD577F">
        <w:rPr>
          <w:rFonts w:ascii="Times New Roman" w:hAnsi="Times New Roman" w:cs="Times New Roman"/>
          <w:sz w:val="20"/>
          <w:szCs w:val="20"/>
        </w:rPr>
        <w:t xml:space="preserve"> [1984] 2 S.C.R. 335 </w:t>
      </w:r>
    </w:p>
  </w:footnote>
  <w:footnote w:id="5">
    <w:p w14:paraId="0E1965B4" w14:textId="77777777" w:rsidR="002F0A13" w:rsidRPr="007A2822" w:rsidRDefault="002F0A13" w:rsidP="00750B28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D220E9">
        <w:rPr>
          <w:rFonts w:ascii="Times New Roman" w:hAnsi="Times New Roman" w:cs="Times New Roman"/>
          <w:sz w:val="20"/>
          <w:szCs w:val="20"/>
        </w:rPr>
        <w:t xml:space="preserve">The Marshall Trilogy, footnote 1. </w:t>
      </w:r>
    </w:p>
  </w:footnote>
  <w:footnote w:id="6">
    <w:p w14:paraId="7F5F5326" w14:textId="77777777" w:rsidR="002F0A13" w:rsidRPr="007A2822" w:rsidRDefault="002F0A13" w:rsidP="00750B28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7A70CE">
        <w:rPr>
          <w:rFonts w:ascii="Times New Roman" w:hAnsi="Times New Roman" w:cs="Times New Roman"/>
          <w:i/>
          <w:sz w:val="20"/>
          <w:szCs w:val="20"/>
        </w:rPr>
        <w:t xml:space="preserve">United States v. </w:t>
      </w:r>
      <w:proofErr w:type="spellStart"/>
      <w:r w:rsidRPr="007A70CE">
        <w:rPr>
          <w:rFonts w:ascii="Times New Roman" w:hAnsi="Times New Roman" w:cs="Times New Roman"/>
          <w:i/>
          <w:sz w:val="20"/>
          <w:szCs w:val="20"/>
        </w:rPr>
        <w:t>Kagama</w:t>
      </w:r>
      <w:proofErr w:type="spellEnd"/>
      <w:r w:rsidRPr="007A70CE">
        <w:rPr>
          <w:rFonts w:ascii="Times New Roman" w:hAnsi="Times New Roman" w:cs="Times New Roman"/>
          <w:sz w:val="20"/>
          <w:szCs w:val="20"/>
        </w:rPr>
        <w:t xml:space="preserve"> 118 U.S. 375 (1886)</w:t>
      </w:r>
    </w:p>
  </w:footnote>
  <w:footnote w:id="7">
    <w:p w14:paraId="0705D1D1" w14:textId="77777777" w:rsidR="002F0A13" w:rsidRPr="007A2822" w:rsidRDefault="002F0A13" w:rsidP="00750B28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93239C">
        <w:rPr>
          <w:rFonts w:ascii="Times New Roman" w:hAnsi="Times New Roman" w:cs="Times New Roman"/>
          <w:i/>
          <w:sz w:val="20"/>
          <w:szCs w:val="20"/>
        </w:rPr>
        <w:t xml:space="preserve">Lone </w:t>
      </w:r>
      <w:proofErr w:type="gramStart"/>
      <w:r w:rsidRPr="0093239C">
        <w:rPr>
          <w:rFonts w:ascii="Times New Roman" w:hAnsi="Times New Roman" w:cs="Times New Roman"/>
          <w:i/>
          <w:sz w:val="20"/>
          <w:szCs w:val="20"/>
        </w:rPr>
        <w:t>Wolf  v</w:t>
      </w:r>
      <w:proofErr w:type="gramEnd"/>
      <w:r w:rsidRPr="0093239C">
        <w:rPr>
          <w:rFonts w:ascii="Times New Roman" w:hAnsi="Times New Roman" w:cs="Times New Roman"/>
          <w:i/>
          <w:sz w:val="20"/>
          <w:szCs w:val="20"/>
        </w:rPr>
        <w:t>. Hitchcock</w:t>
      </w:r>
      <w:r w:rsidRPr="0093239C">
        <w:rPr>
          <w:rFonts w:ascii="Times New Roman" w:hAnsi="Times New Roman" w:cs="Times New Roman"/>
          <w:sz w:val="20"/>
          <w:szCs w:val="20"/>
        </w:rPr>
        <w:t xml:space="preserve"> 187 U.S. 566.</w:t>
      </w:r>
      <w:r>
        <w:t xml:space="preserve"> </w:t>
      </w:r>
    </w:p>
  </w:footnote>
  <w:footnote w:id="8">
    <w:p w14:paraId="054EFFE4" w14:textId="77777777" w:rsidR="002F0A13" w:rsidRPr="007A2822" w:rsidRDefault="002F0A13" w:rsidP="00750B28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rPr>
          <w:rFonts w:ascii="Times New Roman" w:hAnsi="Times New Roman" w:cs="Times New Roman"/>
          <w:i/>
          <w:sz w:val="20"/>
          <w:szCs w:val="20"/>
        </w:rPr>
        <w:t xml:space="preserve"> R. v</w:t>
      </w:r>
      <w:r w:rsidRPr="007A70CE">
        <w:rPr>
          <w:rFonts w:ascii="Times New Roman" w:hAnsi="Times New Roman" w:cs="Times New Roman"/>
          <w:i/>
          <w:sz w:val="20"/>
          <w:szCs w:val="20"/>
        </w:rPr>
        <w:t>. Sparrow</w:t>
      </w:r>
      <w:r w:rsidRPr="007A70CE">
        <w:rPr>
          <w:rFonts w:ascii="Times New Roman" w:hAnsi="Times New Roman" w:cs="Times New Roman"/>
          <w:sz w:val="20"/>
          <w:szCs w:val="20"/>
        </w:rPr>
        <w:t xml:space="preserve"> [1990] 1 S.C.R. 1075</w:t>
      </w:r>
      <w:r>
        <w:t>.</w:t>
      </w:r>
    </w:p>
  </w:footnote>
  <w:footnote w:id="9">
    <w:p w14:paraId="42BB93D0" w14:textId="77777777" w:rsidR="002F0A13" w:rsidRPr="007A2822" w:rsidRDefault="002F0A13" w:rsidP="00750B28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7A70CE">
        <w:rPr>
          <w:rFonts w:ascii="Times New Roman" w:hAnsi="Times New Roman" w:cs="Times New Roman"/>
          <w:i/>
          <w:sz w:val="20"/>
          <w:szCs w:val="20"/>
        </w:rPr>
        <w:t>Keewatin v. Ontario (Minister of Natural Resources)</w:t>
      </w:r>
      <w:r>
        <w:rPr>
          <w:rFonts w:ascii="Times New Roman" w:hAnsi="Times New Roman" w:cs="Times New Roman"/>
          <w:sz w:val="20"/>
          <w:szCs w:val="20"/>
        </w:rPr>
        <w:t xml:space="preserve"> 2014 SCC 48</w:t>
      </w:r>
    </w:p>
  </w:footnote>
  <w:footnote w:id="10">
    <w:p w14:paraId="31225F11" w14:textId="77777777" w:rsidR="002F0A13" w:rsidRPr="0093239C" w:rsidRDefault="002F0A13" w:rsidP="00750B28">
      <w:r>
        <w:rPr>
          <w:rStyle w:val="FootnoteReference"/>
        </w:rPr>
        <w:footnoteRef/>
      </w:r>
      <w:r>
        <w:t xml:space="preserve"> </w:t>
      </w:r>
      <w:r w:rsidRPr="0093239C">
        <w:rPr>
          <w:rFonts w:ascii="Times New Roman" w:hAnsi="Times New Roman" w:cs="Times New Roman"/>
          <w:i/>
          <w:sz w:val="20"/>
          <w:szCs w:val="20"/>
        </w:rPr>
        <w:t xml:space="preserve">Manitoba Metis Fed </w:t>
      </w:r>
      <w:proofErr w:type="spellStart"/>
      <w:r w:rsidRPr="0093239C">
        <w:rPr>
          <w:rFonts w:ascii="Times New Roman" w:hAnsi="Times New Roman" w:cs="Times New Roman"/>
          <w:i/>
          <w:sz w:val="20"/>
          <w:szCs w:val="20"/>
        </w:rPr>
        <w:t>Inc</w:t>
      </w:r>
      <w:proofErr w:type="spellEnd"/>
      <w:r w:rsidRPr="0093239C">
        <w:rPr>
          <w:rFonts w:ascii="Times New Roman" w:hAnsi="Times New Roman" w:cs="Times New Roman"/>
          <w:i/>
          <w:sz w:val="20"/>
          <w:szCs w:val="20"/>
        </w:rPr>
        <w:t xml:space="preserve"> v Canada </w:t>
      </w:r>
      <w:r w:rsidRPr="0093239C">
        <w:rPr>
          <w:rFonts w:ascii="Times New Roman" w:hAnsi="Times New Roman" w:cs="Times New Roman"/>
          <w:sz w:val="20"/>
          <w:szCs w:val="20"/>
        </w:rPr>
        <w:t>2013 SCC 14</w:t>
      </w:r>
    </w:p>
    <w:p w14:paraId="0EA5D41D" w14:textId="77777777" w:rsidR="002F0A13" w:rsidRPr="007A2822" w:rsidRDefault="002F0A13" w:rsidP="00750B28">
      <w:pPr>
        <w:pStyle w:val="FootnoteText"/>
        <w:rPr>
          <w:lang w:val="en-CA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0B66B" w14:textId="77777777" w:rsidR="007A2822" w:rsidRDefault="007A28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77080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1F5BC3" w14:textId="643E1904" w:rsidR="007A2822" w:rsidRDefault="007A282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AFC31D8" w14:textId="77777777" w:rsidR="007A2822" w:rsidRDefault="007A282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CBDE3" w14:textId="77777777" w:rsidR="007A2822" w:rsidRDefault="007A2822">
    <w:pPr>
      <w:pStyle w:val="Header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F4261"/>
    <w:multiLevelType w:val="hybridMultilevel"/>
    <w:tmpl w:val="8C7625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A2"/>
    <w:rsid w:val="00150906"/>
    <w:rsid w:val="00293367"/>
    <w:rsid w:val="002E5258"/>
    <w:rsid w:val="002F0A13"/>
    <w:rsid w:val="00323259"/>
    <w:rsid w:val="0043093B"/>
    <w:rsid w:val="00466447"/>
    <w:rsid w:val="00553E9C"/>
    <w:rsid w:val="00625471"/>
    <w:rsid w:val="006C4A0F"/>
    <w:rsid w:val="006E62F2"/>
    <w:rsid w:val="00750B28"/>
    <w:rsid w:val="00782C07"/>
    <w:rsid w:val="007854E8"/>
    <w:rsid w:val="007A2822"/>
    <w:rsid w:val="008E0245"/>
    <w:rsid w:val="00A85CC7"/>
    <w:rsid w:val="00C7782D"/>
    <w:rsid w:val="00CE7DA4"/>
    <w:rsid w:val="00D73476"/>
    <w:rsid w:val="00EC7E66"/>
    <w:rsid w:val="00EE0CA2"/>
    <w:rsid w:val="00F34004"/>
    <w:rsid w:val="00F779DE"/>
    <w:rsid w:val="00F867B5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6801B"/>
  <w14:defaultImageDpi w14:val="300"/>
  <w15:docId w15:val="{CB03C8ED-30E9-4305-B0BB-88ACFEE0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CA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F6D4E"/>
  </w:style>
  <w:style w:type="character" w:customStyle="1" w:styleId="FootnoteTextChar">
    <w:name w:val="Footnote Text Char"/>
    <w:basedOn w:val="DefaultParagraphFont"/>
    <w:link w:val="FootnoteText"/>
    <w:uiPriority w:val="99"/>
    <w:rsid w:val="00FF6D4E"/>
  </w:style>
  <w:style w:type="character" w:styleId="FootnoteReference">
    <w:name w:val="footnote reference"/>
    <w:basedOn w:val="DefaultParagraphFont"/>
    <w:uiPriority w:val="99"/>
    <w:unhideWhenUsed/>
    <w:rsid w:val="00FF6D4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A28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822"/>
  </w:style>
  <w:style w:type="paragraph" w:styleId="Footer">
    <w:name w:val="footer"/>
    <w:basedOn w:val="Normal"/>
    <w:link w:val="FooterChar"/>
    <w:uiPriority w:val="99"/>
    <w:unhideWhenUsed/>
    <w:rsid w:val="007A28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665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Gérard</cp:lastModifiedBy>
  <cp:revision>2</cp:revision>
  <cp:lastPrinted>2015-06-27T15:36:00Z</cp:lastPrinted>
  <dcterms:created xsi:type="dcterms:W3CDTF">2015-06-30T17:08:00Z</dcterms:created>
  <dcterms:modified xsi:type="dcterms:W3CDTF">2015-06-30T17:08:00Z</dcterms:modified>
</cp:coreProperties>
</file>