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490"/>
        <w:gridCol w:w="4372"/>
      </w:tblGrid>
      <w:tr w:rsidR="00AB137B" w:rsidRPr="002257B8" w:rsidTr="00AB137B">
        <w:tc>
          <w:tcPr>
            <w:tcW w:w="4390" w:type="dxa"/>
          </w:tcPr>
          <w:p w:rsidR="00AB137B" w:rsidRDefault="00AB137B" w:rsidP="00AB137B">
            <w:r>
              <w:t>Résu</w:t>
            </w:r>
            <w:r w:rsidR="0028323C">
              <w:t>ltats</w:t>
            </w:r>
            <w:r>
              <w:t xml:space="preserve"> des requêtes présentées entre le </w:t>
            </w:r>
            <w:r w:rsidR="00DE0D2A">
              <w:t xml:space="preserve">10 </w:t>
            </w:r>
            <w:r w:rsidR="00E02F4A">
              <w:t>septembre 2013 et le 2</w:t>
            </w:r>
            <w:r>
              <w:t xml:space="preserve">2 février 2016 en vertu </w:t>
            </w:r>
            <w:r w:rsidRPr="00AB137B">
              <w:t xml:space="preserve"> </w:t>
            </w:r>
            <w:r w:rsidR="004B3848">
              <w:t>des articles 3 et 4 du R</w:t>
            </w:r>
            <w:r w:rsidRPr="00AB137B">
              <w:t xml:space="preserve">èglement </w:t>
            </w:r>
            <w:r w:rsidR="004B3848">
              <w:t xml:space="preserve">sur les langues devant les tribunaux, Règl. de l’Alberta  </w:t>
            </w:r>
            <w:r w:rsidRPr="00AB137B">
              <w:t>158/2013 pris</w:t>
            </w:r>
            <w:r w:rsidR="00DE0D2A">
              <w:t xml:space="preserve"> en application de l’article 4</w:t>
            </w:r>
            <w:r w:rsidRPr="00AB137B">
              <w:t xml:space="preserve"> de la Loi linguistique, R.S.A. 2000, c. L-6.</w:t>
            </w:r>
          </w:p>
          <w:p w:rsidR="00DE0D2A" w:rsidRDefault="00DE0D2A" w:rsidP="00AB137B"/>
          <w:p w:rsidR="00DE0D2A" w:rsidRPr="00DE0D2A" w:rsidRDefault="00DE0D2A" w:rsidP="00DE0D2A">
            <w:pPr>
              <w:keepNext/>
              <w:shd w:val="clear" w:color="auto" w:fill="FFFFFF"/>
              <w:tabs>
                <w:tab w:val="right" w:pos="6521"/>
              </w:tabs>
              <w:spacing w:before="200" w:after="40" w:line="220" w:lineRule="atLeast"/>
              <w:ind w:left="907"/>
              <w:rPr>
                <w:rFonts w:ascii="Arial" w:eastAsia="Times New Roman" w:hAnsi="Arial" w:cs="Arial"/>
                <w:b/>
                <w:bCs/>
                <w:color w:val="000000"/>
                <w:sz w:val="18"/>
                <w:szCs w:val="18"/>
                <w:lang w:eastAsia="fr-CA"/>
              </w:rPr>
            </w:pPr>
            <w:bookmarkStart w:id="0" w:name="art4par1"/>
            <w:bookmarkStart w:id="1" w:name="art4"/>
            <w:bookmarkEnd w:id="0"/>
            <w:bookmarkEnd w:id="1"/>
            <w:r w:rsidRPr="00DE0D2A">
              <w:rPr>
                <w:rFonts w:ascii="Arial" w:eastAsia="Times New Roman" w:hAnsi="Arial" w:cs="Arial"/>
                <w:b/>
                <w:bCs/>
                <w:color w:val="000000"/>
                <w:sz w:val="18"/>
                <w:szCs w:val="18"/>
                <w:lang w:eastAsia="fr-CA"/>
              </w:rPr>
              <w:t>Langue dans les tribunaux</w:t>
            </w:r>
          </w:p>
          <w:p w:rsidR="00DE0D2A" w:rsidRPr="00DE0D2A" w:rsidRDefault="00DE0D2A" w:rsidP="00DE0D2A">
            <w:pPr>
              <w:shd w:val="clear" w:color="auto" w:fill="FFFFFF"/>
              <w:tabs>
                <w:tab w:val="right" w:pos="6521"/>
              </w:tabs>
              <w:spacing w:line="220" w:lineRule="atLeast"/>
              <w:ind w:left="1138"/>
              <w:rPr>
                <w:rFonts w:ascii="Times New Roman" w:eastAsia="Times New Roman" w:hAnsi="Times New Roman" w:cs="Times New Roman"/>
                <w:color w:val="000000"/>
                <w:sz w:val="20"/>
                <w:szCs w:val="20"/>
                <w:lang w:eastAsia="fr-CA"/>
              </w:rPr>
            </w:pPr>
            <w:r w:rsidRPr="00DE0D2A">
              <w:rPr>
                <w:rFonts w:ascii="Arial" w:eastAsia="Times New Roman" w:hAnsi="Arial" w:cs="Arial"/>
                <w:b/>
                <w:bCs/>
                <w:color w:val="000000"/>
                <w:sz w:val="20"/>
                <w:szCs w:val="20"/>
                <w:lang w:eastAsia="fr-CA"/>
              </w:rPr>
              <w:t>4</w:t>
            </w:r>
            <w:r w:rsidRPr="00DE0D2A">
              <w:rPr>
                <w:rFonts w:ascii="Times New Roman" w:eastAsia="Times New Roman" w:hAnsi="Times New Roman" w:cs="Times New Roman"/>
                <w:b/>
                <w:color w:val="027ABB"/>
                <w:sz w:val="20"/>
                <w:szCs w:val="20"/>
                <w:shd w:val="clear" w:color="auto" w:fill="F3F3F3"/>
                <w:lang w:eastAsia="fr-CA"/>
              </w:rPr>
              <w:t>(1)</w:t>
            </w:r>
            <w:r w:rsidRPr="00DE0D2A">
              <w:rPr>
                <w:rFonts w:ascii="Times New Roman" w:eastAsia="Times New Roman" w:hAnsi="Times New Roman" w:cs="Times New Roman"/>
                <w:color w:val="000000"/>
                <w:sz w:val="20"/>
                <w:szCs w:val="20"/>
                <w:lang w:eastAsia="fr-CA"/>
              </w:rPr>
              <w:t>  Chacun peut employer le français ou l’anglais dans les communications verbales dans les procédures devant les tribunaux suivants de l’Alberta:</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eastAsia="fr-CA"/>
              </w:rPr>
            </w:pPr>
            <w:r w:rsidRPr="00DE0D2A">
              <w:rPr>
                <w:rFonts w:ascii="Times New Roman" w:eastAsia="Times New Roman" w:hAnsi="Times New Roman" w:cs="Times New Roman"/>
                <w:color w:val="000000"/>
                <w:sz w:val="20"/>
                <w:szCs w:val="20"/>
                <w:lang w:eastAsia="fr-CA"/>
              </w:rPr>
              <w:tab/>
              <w:t>(a)</w:t>
            </w:r>
            <w:r w:rsidRPr="00DE0D2A">
              <w:rPr>
                <w:rFonts w:ascii="Times New Roman" w:eastAsia="Times New Roman" w:hAnsi="Times New Roman" w:cs="Times New Roman"/>
                <w:color w:val="000000"/>
                <w:sz w:val="20"/>
                <w:szCs w:val="20"/>
                <w:lang w:eastAsia="fr-CA"/>
              </w:rPr>
              <w:tab/>
              <w:t>la cour d’appel de l’Alberta;</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eastAsia="fr-CA"/>
              </w:rPr>
            </w:pPr>
            <w:r w:rsidRPr="00DE0D2A">
              <w:rPr>
                <w:rFonts w:ascii="Times New Roman" w:eastAsia="Times New Roman" w:hAnsi="Times New Roman" w:cs="Times New Roman"/>
                <w:color w:val="000000"/>
                <w:sz w:val="20"/>
                <w:szCs w:val="20"/>
                <w:lang w:eastAsia="fr-CA"/>
              </w:rPr>
              <w:tab/>
              <w:t>(b)</w:t>
            </w:r>
            <w:r w:rsidRPr="00DE0D2A">
              <w:rPr>
                <w:rFonts w:ascii="Times New Roman" w:eastAsia="Times New Roman" w:hAnsi="Times New Roman" w:cs="Times New Roman"/>
                <w:color w:val="000000"/>
                <w:sz w:val="20"/>
                <w:szCs w:val="20"/>
                <w:lang w:eastAsia="fr-CA"/>
              </w:rPr>
              <w:tab/>
              <w:t>la cour du banc de la Reine de l’Alberta;</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val="en-CA" w:eastAsia="fr-CA"/>
              </w:rPr>
            </w:pPr>
            <w:r w:rsidRPr="00DE0D2A">
              <w:rPr>
                <w:rFonts w:ascii="Times New Roman" w:eastAsia="Times New Roman" w:hAnsi="Times New Roman" w:cs="Times New Roman"/>
                <w:color w:val="000000"/>
                <w:sz w:val="20"/>
                <w:szCs w:val="20"/>
                <w:lang w:eastAsia="fr-CA"/>
              </w:rPr>
              <w:tab/>
            </w:r>
            <w:r w:rsidRPr="00DE0D2A">
              <w:rPr>
                <w:rFonts w:ascii="Times New Roman" w:eastAsia="Times New Roman" w:hAnsi="Times New Roman" w:cs="Times New Roman"/>
                <w:color w:val="000000"/>
                <w:sz w:val="20"/>
                <w:szCs w:val="20"/>
                <w:lang w:val="en-CA" w:eastAsia="fr-CA"/>
              </w:rPr>
              <w:t>(c)</w:t>
            </w:r>
            <w:r w:rsidRPr="00DE0D2A">
              <w:rPr>
                <w:rFonts w:ascii="Times New Roman" w:eastAsia="Times New Roman" w:hAnsi="Times New Roman" w:cs="Times New Roman"/>
                <w:color w:val="000000"/>
                <w:sz w:val="20"/>
                <w:szCs w:val="20"/>
                <w:lang w:val="en-CA" w:eastAsia="fr-CA"/>
              </w:rPr>
              <w:tab/>
              <w:t xml:space="preserve">abrogé </w:t>
            </w:r>
            <w:hyperlink r:id="rId6" w:history="1">
              <w:r w:rsidRPr="00DE0D2A">
                <w:rPr>
                  <w:rFonts w:ascii="Times New Roman" w:eastAsia="Times New Roman" w:hAnsi="Times New Roman" w:cs="Times New Roman"/>
                  <w:color w:val="027ABB"/>
                  <w:sz w:val="20"/>
                  <w:szCs w:val="20"/>
                  <w:lang w:val="en-CA" w:eastAsia="fr-CA"/>
                </w:rPr>
                <w:t>RSA 2000 c16(Supp</w:t>
              </w:r>
            </w:hyperlink>
            <w:r w:rsidRPr="00DE0D2A">
              <w:rPr>
                <w:rFonts w:ascii="Times New Roman" w:eastAsia="Times New Roman" w:hAnsi="Times New Roman" w:cs="Times New Roman"/>
                <w:color w:val="000000"/>
                <w:sz w:val="20"/>
                <w:szCs w:val="20"/>
                <w:lang w:val="en-CA" w:eastAsia="fr-CA"/>
              </w:rPr>
              <w:t>) art50;</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eastAsia="fr-CA"/>
              </w:rPr>
            </w:pPr>
            <w:r w:rsidRPr="00DE0D2A">
              <w:rPr>
                <w:rFonts w:ascii="Times New Roman" w:eastAsia="Times New Roman" w:hAnsi="Times New Roman" w:cs="Times New Roman"/>
                <w:color w:val="000000"/>
                <w:sz w:val="20"/>
                <w:szCs w:val="20"/>
                <w:lang w:val="en-CA" w:eastAsia="fr-CA"/>
              </w:rPr>
              <w:tab/>
            </w:r>
            <w:r w:rsidRPr="00DE0D2A">
              <w:rPr>
                <w:rFonts w:ascii="Times New Roman" w:eastAsia="Times New Roman" w:hAnsi="Times New Roman" w:cs="Times New Roman"/>
                <w:color w:val="000000"/>
                <w:sz w:val="20"/>
                <w:szCs w:val="20"/>
                <w:lang w:eastAsia="fr-CA"/>
              </w:rPr>
              <w:t>(d)</w:t>
            </w:r>
            <w:r w:rsidRPr="00DE0D2A">
              <w:rPr>
                <w:rFonts w:ascii="Times New Roman" w:eastAsia="Times New Roman" w:hAnsi="Times New Roman" w:cs="Times New Roman"/>
                <w:color w:val="000000"/>
                <w:sz w:val="20"/>
                <w:szCs w:val="20"/>
                <w:lang w:eastAsia="fr-CA"/>
              </w:rPr>
              <w:tab/>
              <w:t>la cour provinciale de l’Alberta.</w:t>
            </w:r>
          </w:p>
          <w:p w:rsidR="00DE0D2A" w:rsidRPr="00DE0D2A" w:rsidRDefault="00DE0D2A" w:rsidP="00DE0D2A">
            <w:pPr>
              <w:keepNext/>
              <w:shd w:val="clear" w:color="auto" w:fill="FFFFFF"/>
              <w:tabs>
                <w:tab w:val="left" w:pos="1871"/>
                <w:tab w:val="left" w:pos="2268"/>
                <w:tab w:val="right" w:pos="6521"/>
              </w:tabs>
              <w:spacing w:before="200" w:line="220" w:lineRule="atLeast"/>
              <w:ind w:left="1138"/>
              <w:rPr>
                <w:rFonts w:ascii="Times New Roman" w:eastAsia="Times New Roman" w:hAnsi="Times New Roman" w:cs="Times New Roman"/>
                <w:color w:val="000000"/>
                <w:sz w:val="20"/>
                <w:szCs w:val="20"/>
                <w:lang w:eastAsia="fr-CA"/>
              </w:rPr>
            </w:pPr>
            <w:bookmarkStart w:id="2" w:name="art4par2"/>
            <w:bookmarkEnd w:id="2"/>
            <w:r w:rsidRPr="00DE0D2A">
              <w:rPr>
                <w:rFonts w:ascii="Times New Roman" w:eastAsia="Times New Roman" w:hAnsi="Times New Roman" w:cs="Times New Roman"/>
                <w:b/>
                <w:color w:val="027ABB"/>
                <w:sz w:val="20"/>
                <w:szCs w:val="20"/>
                <w:shd w:val="clear" w:color="auto" w:fill="F3F3F3"/>
                <w:lang w:eastAsia="fr-CA"/>
              </w:rPr>
              <w:t>(2)</w:t>
            </w:r>
            <w:r w:rsidRPr="00DE0D2A">
              <w:rPr>
                <w:rFonts w:ascii="Times New Roman" w:eastAsia="Times New Roman" w:hAnsi="Times New Roman" w:cs="Times New Roman"/>
                <w:color w:val="000000"/>
                <w:sz w:val="20"/>
                <w:szCs w:val="20"/>
                <w:lang w:eastAsia="fr-CA"/>
              </w:rPr>
              <w:t>  Le Lieutenant</w:t>
            </w:r>
            <w:r w:rsidRPr="00DE0D2A">
              <w:rPr>
                <w:rFonts w:ascii="Times New Roman" w:eastAsia="Times New Roman" w:hAnsi="Times New Roman" w:cs="Times New Roman"/>
                <w:color w:val="000000"/>
                <w:sz w:val="20"/>
                <w:szCs w:val="20"/>
                <w:lang w:eastAsia="fr-CA"/>
              </w:rPr>
              <w:noBreakHyphen/>
              <w:t>gouverneur en conseil peut établir des règlements en vue de donner effet aux dispositions du présent article ou de préciser ou compléter le présent article ou les règles de procédures des tribunaux précitées déjà en vigueur.</w:t>
            </w:r>
          </w:p>
          <w:p w:rsidR="00DE0D2A" w:rsidRDefault="00DE0D2A" w:rsidP="00AB137B"/>
          <w:p w:rsidR="00AB137B" w:rsidRDefault="00AB137B" w:rsidP="00AB137B"/>
          <w:p w:rsidR="00226B03" w:rsidRDefault="00226B03" w:rsidP="00AB137B">
            <w:r>
              <w:t>_______________________________________</w:t>
            </w:r>
          </w:p>
          <w:p w:rsidR="00AB137B" w:rsidRDefault="00AB137B" w:rsidP="00AB137B">
            <w:r>
              <w:t>Requêtes présentées sous</w:t>
            </w:r>
            <w:r w:rsidR="004B3848">
              <w:t xml:space="preserve"> l’article 3 du R</w:t>
            </w:r>
            <w:r w:rsidRPr="00AB137B">
              <w:t>èglement</w:t>
            </w:r>
            <w:r w:rsidR="00226B03">
              <w:t> :</w:t>
            </w:r>
            <w:r w:rsidRPr="00AB137B">
              <w:t xml:space="preserve"> </w:t>
            </w:r>
          </w:p>
          <w:p w:rsidR="00D30320" w:rsidRDefault="00D30320" w:rsidP="00AB137B"/>
          <w:p w:rsidR="00D30320" w:rsidRDefault="00D30320" w:rsidP="00AB137B">
            <w:r w:rsidRPr="00D30320">
              <w:t>(la version française du Règlement n’est pas encore disponible)</w:t>
            </w:r>
          </w:p>
        </w:tc>
        <w:tc>
          <w:tcPr>
            <w:tcW w:w="4390" w:type="dxa"/>
          </w:tcPr>
          <w:p w:rsidR="00AB137B" w:rsidRDefault="004B3848" w:rsidP="004B3848">
            <w:pPr>
              <w:rPr>
                <w:lang w:val="en-CA"/>
              </w:rPr>
            </w:pPr>
            <w:r>
              <w:rPr>
                <w:lang w:val="en-CA"/>
              </w:rPr>
              <w:t xml:space="preserve">Outcome of requests </w:t>
            </w:r>
            <w:r w:rsidR="00226B03">
              <w:rPr>
                <w:lang w:val="en-CA"/>
              </w:rPr>
              <w:t xml:space="preserve">made </w:t>
            </w:r>
            <w:r w:rsidR="00226B03" w:rsidRPr="004B3848">
              <w:rPr>
                <w:lang w:val="en-CA"/>
              </w:rPr>
              <w:t>between</w:t>
            </w:r>
            <w:r>
              <w:rPr>
                <w:lang w:val="en-CA"/>
              </w:rPr>
              <w:t xml:space="preserve"> S</w:t>
            </w:r>
            <w:r w:rsidR="00801D32">
              <w:rPr>
                <w:lang w:val="en-CA"/>
              </w:rPr>
              <w:t>eptember 10, 2013 and February 2</w:t>
            </w:r>
            <w:r>
              <w:rPr>
                <w:lang w:val="en-CA"/>
              </w:rPr>
              <w:t>2, 2016 pursuant to Sections</w:t>
            </w:r>
            <w:r w:rsidRPr="004B3848">
              <w:rPr>
                <w:lang w:val="en-CA"/>
              </w:rPr>
              <w:t xml:space="preserve"> 3</w:t>
            </w:r>
            <w:r>
              <w:rPr>
                <w:lang w:val="en-CA"/>
              </w:rPr>
              <w:t xml:space="preserve"> and 4 </w:t>
            </w:r>
            <w:r w:rsidRPr="004B3848">
              <w:rPr>
                <w:lang w:val="en-CA"/>
              </w:rPr>
              <w:t>of Languages in the Courts</w:t>
            </w:r>
            <w:r>
              <w:rPr>
                <w:lang w:val="en-CA"/>
              </w:rPr>
              <w:t xml:space="preserve"> </w:t>
            </w:r>
            <w:r w:rsidRPr="004B3848">
              <w:rPr>
                <w:lang w:val="en-CA"/>
              </w:rPr>
              <w:t>Regulation</w:t>
            </w:r>
            <w:r>
              <w:rPr>
                <w:lang w:val="en-CA"/>
              </w:rPr>
              <w:t>, Alta Reg.</w:t>
            </w:r>
            <w:r w:rsidR="00DE0D2A">
              <w:rPr>
                <w:lang w:val="en-CA"/>
              </w:rPr>
              <w:t xml:space="preserve"> 158/2013 made under Section 4</w:t>
            </w:r>
            <w:r w:rsidRPr="004B3848">
              <w:rPr>
                <w:lang w:val="en-CA"/>
              </w:rPr>
              <w:t xml:space="preserve"> of the Languages Act, R.S.A. 2000, c. L-6.</w:t>
            </w:r>
          </w:p>
          <w:p w:rsidR="00226B03" w:rsidRDefault="00226B03" w:rsidP="004B3848">
            <w:pPr>
              <w:rPr>
                <w:lang w:val="en-CA"/>
              </w:rPr>
            </w:pPr>
          </w:p>
          <w:p w:rsidR="00DE0D2A" w:rsidRPr="00DE0D2A" w:rsidRDefault="00DE0D2A" w:rsidP="00DE0D2A">
            <w:pPr>
              <w:keepNext/>
              <w:shd w:val="clear" w:color="auto" w:fill="FFFFFF"/>
              <w:tabs>
                <w:tab w:val="right" w:pos="6521"/>
              </w:tabs>
              <w:spacing w:before="200" w:after="40" w:line="220" w:lineRule="atLeast"/>
              <w:ind w:left="907"/>
              <w:rPr>
                <w:rFonts w:ascii="Arial" w:eastAsia="Times New Roman" w:hAnsi="Arial" w:cs="Arial"/>
                <w:b/>
                <w:bCs/>
                <w:color w:val="000000"/>
                <w:sz w:val="18"/>
                <w:szCs w:val="18"/>
                <w:lang w:val="en-CA" w:eastAsia="fr-CA"/>
              </w:rPr>
            </w:pPr>
            <w:r w:rsidRPr="00DE0D2A">
              <w:rPr>
                <w:rFonts w:ascii="Arial" w:eastAsia="Times New Roman" w:hAnsi="Arial" w:cs="Arial"/>
                <w:b/>
                <w:bCs/>
                <w:color w:val="000000"/>
                <w:sz w:val="18"/>
                <w:szCs w:val="18"/>
                <w:lang w:val="en-CA" w:eastAsia="fr-CA"/>
              </w:rPr>
              <w:t>Language in the courts</w:t>
            </w:r>
          </w:p>
          <w:p w:rsidR="00DE0D2A" w:rsidRPr="00DE0D2A" w:rsidRDefault="00DE0D2A" w:rsidP="00DE0D2A">
            <w:pPr>
              <w:shd w:val="clear" w:color="auto" w:fill="FFFFFF"/>
              <w:tabs>
                <w:tab w:val="right" w:pos="6521"/>
              </w:tabs>
              <w:spacing w:line="220" w:lineRule="atLeast"/>
              <w:ind w:left="1138"/>
              <w:rPr>
                <w:rFonts w:ascii="Times New Roman" w:eastAsia="Times New Roman" w:hAnsi="Times New Roman" w:cs="Times New Roman"/>
                <w:color w:val="000000"/>
                <w:sz w:val="20"/>
                <w:szCs w:val="20"/>
                <w:lang w:val="en-CA" w:eastAsia="fr-CA"/>
              </w:rPr>
            </w:pPr>
            <w:r w:rsidRPr="00DE0D2A">
              <w:rPr>
                <w:rFonts w:ascii="Arial" w:eastAsia="Times New Roman" w:hAnsi="Arial" w:cs="Arial"/>
                <w:b/>
                <w:bCs/>
                <w:color w:val="000000"/>
                <w:sz w:val="20"/>
                <w:szCs w:val="20"/>
                <w:lang w:val="en-CA" w:eastAsia="fr-CA"/>
              </w:rPr>
              <w:t>4</w:t>
            </w:r>
            <w:r w:rsidRPr="00DE0D2A">
              <w:rPr>
                <w:rFonts w:ascii="Times New Roman" w:eastAsia="Times New Roman" w:hAnsi="Times New Roman" w:cs="Times New Roman"/>
                <w:b/>
                <w:color w:val="027ABB"/>
                <w:sz w:val="20"/>
                <w:szCs w:val="20"/>
                <w:shd w:val="clear" w:color="auto" w:fill="F3F3F3"/>
                <w:lang w:val="en-CA" w:eastAsia="fr-CA"/>
              </w:rPr>
              <w:t>(1)</w:t>
            </w:r>
            <w:r w:rsidRPr="00DE0D2A">
              <w:rPr>
                <w:rFonts w:ascii="Times New Roman" w:eastAsia="Times New Roman" w:hAnsi="Times New Roman" w:cs="Times New Roman"/>
                <w:color w:val="000000"/>
                <w:sz w:val="20"/>
                <w:szCs w:val="20"/>
                <w:lang w:val="en-CA" w:eastAsia="fr-CA"/>
              </w:rPr>
              <w:t>  Any person may use English or French in oral communication in proceedings before the following courts:</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val="en-CA" w:eastAsia="fr-CA"/>
              </w:rPr>
            </w:pPr>
            <w:r w:rsidRPr="00DE0D2A">
              <w:rPr>
                <w:rFonts w:ascii="Times New Roman" w:eastAsia="Times New Roman" w:hAnsi="Times New Roman" w:cs="Times New Roman"/>
                <w:color w:val="000000"/>
                <w:sz w:val="20"/>
                <w:szCs w:val="20"/>
                <w:lang w:val="en-CA" w:eastAsia="fr-CA"/>
              </w:rPr>
              <w:tab/>
              <w:t>(a)</w:t>
            </w:r>
            <w:r w:rsidRPr="00DE0D2A">
              <w:rPr>
                <w:rFonts w:ascii="Times New Roman" w:eastAsia="Times New Roman" w:hAnsi="Times New Roman" w:cs="Times New Roman"/>
                <w:color w:val="000000"/>
                <w:sz w:val="20"/>
                <w:szCs w:val="20"/>
                <w:lang w:val="en-CA" w:eastAsia="fr-CA"/>
              </w:rPr>
              <w:tab/>
              <w:t>the Court of Appeal of Alberta;</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val="en-CA" w:eastAsia="fr-CA"/>
              </w:rPr>
            </w:pPr>
            <w:r w:rsidRPr="00DE0D2A">
              <w:rPr>
                <w:rFonts w:ascii="Times New Roman" w:eastAsia="Times New Roman" w:hAnsi="Times New Roman" w:cs="Times New Roman"/>
                <w:color w:val="000000"/>
                <w:sz w:val="20"/>
                <w:szCs w:val="20"/>
                <w:lang w:val="en-CA" w:eastAsia="fr-CA"/>
              </w:rPr>
              <w:tab/>
              <w:t>(b)</w:t>
            </w:r>
            <w:r w:rsidRPr="00DE0D2A">
              <w:rPr>
                <w:rFonts w:ascii="Times New Roman" w:eastAsia="Times New Roman" w:hAnsi="Times New Roman" w:cs="Times New Roman"/>
                <w:color w:val="000000"/>
                <w:sz w:val="20"/>
                <w:szCs w:val="20"/>
                <w:lang w:val="en-CA" w:eastAsia="fr-CA"/>
              </w:rPr>
              <w:tab/>
              <w:t>the Court of Queen’s Bench of Alberta;</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val="en-CA" w:eastAsia="fr-CA"/>
              </w:rPr>
            </w:pPr>
            <w:r w:rsidRPr="00DE0D2A">
              <w:rPr>
                <w:rFonts w:ascii="Times New Roman" w:eastAsia="Times New Roman" w:hAnsi="Times New Roman" w:cs="Times New Roman"/>
                <w:color w:val="000000"/>
                <w:sz w:val="20"/>
                <w:szCs w:val="20"/>
                <w:lang w:val="en-CA" w:eastAsia="fr-CA"/>
              </w:rPr>
              <w:tab/>
              <w:t>(c)</w:t>
            </w:r>
            <w:r w:rsidRPr="00DE0D2A">
              <w:rPr>
                <w:rFonts w:ascii="Times New Roman" w:eastAsia="Times New Roman" w:hAnsi="Times New Roman" w:cs="Times New Roman"/>
                <w:color w:val="000000"/>
                <w:sz w:val="20"/>
                <w:szCs w:val="20"/>
                <w:lang w:val="en-CA" w:eastAsia="fr-CA"/>
              </w:rPr>
              <w:tab/>
              <w:t xml:space="preserve">repealed </w:t>
            </w:r>
            <w:hyperlink r:id="rId7" w:history="1">
              <w:r w:rsidRPr="00DE0D2A">
                <w:rPr>
                  <w:rFonts w:ascii="Times New Roman" w:eastAsia="Times New Roman" w:hAnsi="Times New Roman" w:cs="Times New Roman"/>
                  <w:color w:val="027ABB"/>
                  <w:sz w:val="20"/>
                  <w:szCs w:val="20"/>
                  <w:lang w:val="en-CA" w:eastAsia="fr-CA"/>
                </w:rPr>
                <w:t>RSA 2000 c16(Supp</w:t>
              </w:r>
            </w:hyperlink>
            <w:r w:rsidRPr="00DE0D2A">
              <w:rPr>
                <w:rFonts w:ascii="Times New Roman" w:eastAsia="Times New Roman" w:hAnsi="Times New Roman" w:cs="Times New Roman"/>
                <w:color w:val="000000"/>
                <w:sz w:val="20"/>
                <w:szCs w:val="20"/>
                <w:lang w:val="en-CA" w:eastAsia="fr-CA"/>
              </w:rPr>
              <w:t xml:space="preserve">) s50; </w:t>
            </w:r>
          </w:p>
          <w:p w:rsidR="00DE0D2A" w:rsidRPr="00DE0D2A" w:rsidRDefault="00DE0D2A" w:rsidP="00DE0D2A">
            <w:pPr>
              <w:shd w:val="clear" w:color="auto" w:fill="FFFFFF"/>
              <w:tabs>
                <w:tab w:val="right" w:pos="1701"/>
                <w:tab w:val="left" w:pos="1871"/>
                <w:tab w:val="right" w:pos="6521"/>
              </w:tabs>
              <w:spacing w:before="200" w:line="220" w:lineRule="atLeast"/>
              <w:ind w:left="1872" w:hanging="1872"/>
              <w:rPr>
                <w:rFonts w:ascii="Times New Roman" w:eastAsia="Times New Roman" w:hAnsi="Times New Roman" w:cs="Times New Roman"/>
                <w:color w:val="000000"/>
                <w:sz w:val="20"/>
                <w:szCs w:val="20"/>
                <w:lang w:val="en-CA" w:eastAsia="fr-CA"/>
              </w:rPr>
            </w:pPr>
            <w:r w:rsidRPr="00DE0D2A">
              <w:rPr>
                <w:rFonts w:ascii="Times New Roman" w:eastAsia="Times New Roman" w:hAnsi="Times New Roman" w:cs="Times New Roman"/>
                <w:color w:val="000000"/>
                <w:sz w:val="20"/>
                <w:szCs w:val="20"/>
                <w:lang w:val="en-CA" w:eastAsia="fr-CA"/>
              </w:rPr>
              <w:tab/>
              <w:t>(d)</w:t>
            </w:r>
            <w:r w:rsidRPr="00DE0D2A">
              <w:rPr>
                <w:rFonts w:ascii="Times New Roman" w:eastAsia="Times New Roman" w:hAnsi="Times New Roman" w:cs="Times New Roman"/>
                <w:color w:val="000000"/>
                <w:sz w:val="20"/>
                <w:szCs w:val="20"/>
                <w:lang w:val="en-CA" w:eastAsia="fr-CA"/>
              </w:rPr>
              <w:tab/>
              <w:t>The Provincial Court of Alberta.</w:t>
            </w:r>
          </w:p>
          <w:p w:rsidR="00DE0D2A" w:rsidRPr="00DE0D2A" w:rsidRDefault="00DE0D2A" w:rsidP="00DE0D2A">
            <w:pPr>
              <w:shd w:val="clear" w:color="auto" w:fill="FFFFFF"/>
              <w:tabs>
                <w:tab w:val="right" w:pos="6521"/>
              </w:tabs>
              <w:spacing w:before="200" w:line="220" w:lineRule="atLeast"/>
              <w:ind w:left="1138"/>
              <w:rPr>
                <w:rFonts w:ascii="Times New Roman" w:eastAsia="Times New Roman" w:hAnsi="Times New Roman" w:cs="Times New Roman"/>
                <w:color w:val="000000"/>
                <w:sz w:val="20"/>
                <w:szCs w:val="20"/>
                <w:lang w:val="en-CA" w:eastAsia="fr-CA"/>
              </w:rPr>
            </w:pPr>
            <w:r w:rsidRPr="00DE0D2A">
              <w:rPr>
                <w:rFonts w:ascii="Times New Roman" w:eastAsia="Times New Roman" w:hAnsi="Times New Roman" w:cs="Times New Roman"/>
                <w:b/>
                <w:color w:val="027ABB"/>
                <w:sz w:val="20"/>
                <w:szCs w:val="20"/>
                <w:shd w:val="clear" w:color="auto" w:fill="F3F3F3"/>
                <w:lang w:val="en-CA" w:eastAsia="fr-CA"/>
              </w:rPr>
              <w:t>(2)</w:t>
            </w:r>
            <w:r w:rsidRPr="00DE0D2A">
              <w:rPr>
                <w:rFonts w:ascii="Times New Roman" w:eastAsia="Times New Roman" w:hAnsi="Times New Roman" w:cs="Times New Roman"/>
                <w:color w:val="000000"/>
                <w:sz w:val="20"/>
                <w:szCs w:val="20"/>
                <w:lang w:val="en-CA" w:eastAsia="fr-CA"/>
              </w:rPr>
              <w:t>  The Lieutenant Governor in Council may make regulations for the purpose of carrying this section into effect, or for any matters not fully or sufficiently provided for in this section or in the rules of those courts already in force.</w:t>
            </w:r>
          </w:p>
          <w:p w:rsidR="00DE0D2A" w:rsidRDefault="00DE0D2A" w:rsidP="004B3848">
            <w:pPr>
              <w:rPr>
                <w:lang w:val="en-CA"/>
              </w:rPr>
            </w:pPr>
          </w:p>
          <w:p w:rsidR="00226B03" w:rsidRDefault="00226B03" w:rsidP="004B3848">
            <w:pPr>
              <w:rPr>
                <w:lang w:val="en-CA"/>
              </w:rPr>
            </w:pPr>
            <w:r>
              <w:rPr>
                <w:lang w:val="en-CA"/>
              </w:rPr>
              <w:t>_____________________________________</w:t>
            </w:r>
          </w:p>
          <w:p w:rsidR="004B3848" w:rsidRDefault="004B3848" w:rsidP="004B3848">
            <w:pPr>
              <w:rPr>
                <w:lang w:val="en-CA"/>
              </w:rPr>
            </w:pPr>
            <w:r>
              <w:rPr>
                <w:lang w:val="en-CA"/>
              </w:rPr>
              <w:t>Request made under Section 3 of the Regulation</w:t>
            </w:r>
            <w:r w:rsidR="00435721">
              <w:rPr>
                <w:lang w:val="en-CA"/>
              </w:rPr>
              <w:t>:</w:t>
            </w:r>
          </w:p>
          <w:p w:rsidR="00435721" w:rsidRPr="00435721" w:rsidRDefault="00435721" w:rsidP="00435721">
            <w:pPr>
              <w:pStyle w:val="sidenotexsb1"/>
              <w:shd w:val="clear" w:color="auto" w:fill="FFFFFF"/>
              <w:rPr>
                <w:color w:val="000000"/>
                <w:lang w:val="en-CA"/>
              </w:rPr>
            </w:pPr>
            <w:bookmarkStart w:id="3" w:name="sec3subsec1"/>
            <w:bookmarkStart w:id="4" w:name="sec3"/>
            <w:bookmarkEnd w:id="3"/>
            <w:bookmarkEnd w:id="4"/>
            <w:r w:rsidRPr="00435721">
              <w:rPr>
                <w:color w:val="000000"/>
                <w:lang w:val="en-CA"/>
              </w:rPr>
              <w:t>Holding proceeding in French</w:t>
            </w:r>
          </w:p>
          <w:p w:rsidR="00435721" w:rsidRPr="00435721" w:rsidRDefault="00435721" w:rsidP="00435721">
            <w:pPr>
              <w:pStyle w:val="section1"/>
              <w:shd w:val="clear" w:color="auto" w:fill="FFFFFF"/>
              <w:rPr>
                <w:color w:val="000000"/>
                <w:lang w:val="en-CA"/>
              </w:rPr>
            </w:pPr>
            <w:r w:rsidRPr="00435721">
              <w:rPr>
                <w:rStyle w:val="sectionnumber2"/>
                <w:color w:val="000000"/>
                <w:lang w:val="en-CA"/>
              </w:rPr>
              <w:t>3</w:t>
            </w:r>
            <w:r w:rsidRPr="00435721">
              <w:rPr>
                <w:rStyle w:val="canliisectionwithsubsection1"/>
                <w:b/>
                <w:bCs/>
                <w:lang w:val="en-CA"/>
              </w:rPr>
              <w:t>(1)</w:t>
            </w:r>
            <w:r w:rsidRPr="00435721">
              <w:rPr>
                <w:color w:val="000000"/>
                <w:lang w:val="en-CA"/>
              </w:rPr>
              <w:t> A judge may, at the request of a defendant and with the consent of the prosecutor, conduct a proceeding in French.</w:t>
            </w:r>
          </w:p>
          <w:p w:rsidR="00435721" w:rsidRPr="00435721" w:rsidRDefault="00435721" w:rsidP="00435721">
            <w:pPr>
              <w:pStyle w:val="subsection1"/>
              <w:shd w:val="clear" w:color="auto" w:fill="FFFFFF"/>
              <w:rPr>
                <w:color w:val="000000"/>
                <w:lang w:val="en-CA"/>
              </w:rPr>
            </w:pPr>
            <w:bookmarkStart w:id="5" w:name="sec3subsec2"/>
            <w:bookmarkEnd w:id="5"/>
            <w:r w:rsidRPr="00435721">
              <w:rPr>
                <w:rStyle w:val="canliisubsection1"/>
                <w:b/>
                <w:bCs/>
                <w:lang w:val="en-CA"/>
              </w:rPr>
              <w:t>(2)</w:t>
            </w:r>
            <w:r w:rsidRPr="00435721">
              <w:rPr>
                <w:color w:val="000000"/>
                <w:lang w:val="en-CA"/>
              </w:rPr>
              <w:t>  Where, under subsection (1), a proceeding is conducted in French,</w:t>
            </w:r>
          </w:p>
          <w:p w:rsidR="00435721" w:rsidRPr="00435721" w:rsidRDefault="00435721" w:rsidP="00435721">
            <w:pPr>
              <w:pStyle w:val="clause1"/>
              <w:shd w:val="clear" w:color="auto" w:fill="FFFFFF"/>
              <w:rPr>
                <w:color w:val="000000"/>
                <w:lang w:val="en-CA"/>
              </w:rPr>
            </w:pPr>
            <w:r w:rsidRPr="00435721">
              <w:rPr>
                <w:color w:val="000000"/>
                <w:lang w:val="en-CA"/>
              </w:rPr>
              <w:t xml:space="preserve">                             (a)   the prosecutor shall arrange and pay for translation into French of any written evidence adduced in English by the prosecutor in the proceeding, and </w:t>
            </w:r>
          </w:p>
          <w:p w:rsidR="00435721" w:rsidRPr="00435721" w:rsidRDefault="00435721" w:rsidP="00435721">
            <w:pPr>
              <w:pStyle w:val="clause1"/>
              <w:shd w:val="clear" w:color="auto" w:fill="FFFFFF"/>
              <w:rPr>
                <w:color w:val="000000"/>
                <w:lang w:val="en-CA"/>
              </w:rPr>
            </w:pPr>
            <w:r w:rsidRPr="00435721">
              <w:rPr>
                <w:color w:val="000000"/>
                <w:lang w:val="en-CA"/>
              </w:rPr>
              <w:lastRenderedPageBreak/>
              <w:t xml:space="preserve">                             (b)   the defendant shall arrange and pay for translation into French of any written evidence adduced in English by or on behalf of the defendant in the proceeding </w:t>
            </w:r>
          </w:p>
          <w:p w:rsidR="00435721" w:rsidRPr="00435721" w:rsidRDefault="00435721" w:rsidP="00435721">
            <w:pPr>
              <w:pStyle w:val="subsection1"/>
              <w:shd w:val="clear" w:color="auto" w:fill="FFFFFF"/>
              <w:rPr>
                <w:color w:val="000000"/>
                <w:lang w:val="en-CA"/>
              </w:rPr>
            </w:pPr>
            <w:r w:rsidRPr="00435721">
              <w:rPr>
                <w:color w:val="000000"/>
                <w:lang w:val="en-CA"/>
              </w:rPr>
              <w:t>unless the parties agree on other arrangements to pay for translation.</w:t>
            </w:r>
          </w:p>
          <w:p w:rsidR="00435721" w:rsidRPr="004B3848" w:rsidRDefault="00435721" w:rsidP="004B3848">
            <w:pPr>
              <w:rPr>
                <w:lang w:val="en-CA"/>
              </w:rPr>
            </w:pPr>
          </w:p>
        </w:tc>
      </w:tr>
    </w:tbl>
    <w:p w:rsidR="00AB137B" w:rsidRDefault="00AB137B" w:rsidP="00AB137B">
      <w:pPr>
        <w:rPr>
          <w:lang w:val="en-CA"/>
        </w:rPr>
      </w:pPr>
    </w:p>
    <w:tbl>
      <w:tblPr>
        <w:tblStyle w:val="TableGrid"/>
        <w:tblW w:w="0" w:type="auto"/>
        <w:tblLook w:val="04A0" w:firstRow="1" w:lastRow="0" w:firstColumn="1" w:lastColumn="0" w:noHBand="0" w:noVBand="1"/>
      </w:tblPr>
      <w:tblGrid>
        <w:gridCol w:w="1751"/>
        <w:gridCol w:w="1751"/>
        <w:gridCol w:w="1750"/>
        <w:gridCol w:w="1750"/>
        <w:gridCol w:w="1860"/>
      </w:tblGrid>
      <w:tr w:rsidR="00586E3E" w:rsidRPr="00435721" w:rsidTr="00AA3457">
        <w:tc>
          <w:tcPr>
            <w:tcW w:w="1751" w:type="dxa"/>
          </w:tcPr>
          <w:p w:rsidR="00435721" w:rsidRDefault="0028323C" w:rsidP="00AB137B">
            <w:r w:rsidRPr="0028323C">
              <w:t>Numéro du dossier de la Cour / Court File Number</w:t>
            </w:r>
          </w:p>
          <w:p w:rsidR="0028323C" w:rsidRDefault="00226B03" w:rsidP="00AB137B">
            <w:r>
              <w:t>______________</w:t>
            </w:r>
          </w:p>
          <w:p w:rsidR="0028323C" w:rsidRDefault="00942B3C" w:rsidP="00AB137B">
            <w:r>
              <w:t>A97321140Z</w:t>
            </w:r>
          </w:p>
          <w:p w:rsidR="0028323C" w:rsidRPr="0028323C" w:rsidRDefault="0028323C" w:rsidP="00AB137B"/>
        </w:tc>
        <w:tc>
          <w:tcPr>
            <w:tcW w:w="1751" w:type="dxa"/>
          </w:tcPr>
          <w:p w:rsidR="00435721" w:rsidRDefault="00435721" w:rsidP="00AB137B">
            <w:r w:rsidRPr="00435721">
              <w:t>Date de la demande initiale</w:t>
            </w:r>
            <w:r w:rsidR="0028323C">
              <w:t>/ Date of initial request</w:t>
            </w:r>
          </w:p>
          <w:p w:rsidR="00B112A3" w:rsidRDefault="00226B03" w:rsidP="00AB137B">
            <w:r>
              <w:t>______________</w:t>
            </w:r>
          </w:p>
          <w:p w:rsidR="00B112A3" w:rsidRPr="00435721" w:rsidRDefault="00942B3C" w:rsidP="00942B3C">
            <w:r w:rsidRPr="00942B3C">
              <w:t>10 sept. 2013 / Sept. 10, 2013</w:t>
            </w:r>
          </w:p>
        </w:tc>
        <w:tc>
          <w:tcPr>
            <w:tcW w:w="1750" w:type="dxa"/>
          </w:tcPr>
          <w:p w:rsidR="00435721" w:rsidRDefault="00435721" w:rsidP="00AB137B">
            <w:r>
              <w:t>Endroit</w:t>
            </w:r>
            <w:r w:rsidR="0028323C">
              <w:t xml:space="preserve"> / Location</w:t>
            </w:r>
          </w:p>
          <w:p w:rsidR="00B112A3" w:rsidRDefault="00B112A3" w:rsidP="00AB137B"/>
          <w:p w:rsidR="00B112A3" w:rsidRDefault="00B112A3" w:rsidP="00AB137B"/>
          <w:p w:rsidR="00B112A3" w:rsidRDefault="00226B03" w:rsidP="00AB137B">
            <w:r>
              <w:t>______________</w:t>
            </w:r>
          </w:p>
          <w:p w:rsidR="00B112A3" w:rsidRPr="00435721" w:rsidRDefault="00942B3C" w:rsidP="00AB137B">
            <w:r w:rsidRPr="00942B3C">
              <w:t>Airdrie</w:t>
            </w:r>
          </w:p>
        </w:tc>
        <w:tc>
          <w:tcPr>
            <w:tcW w:w="1750" w:type="dxa"/>
          </w:tcPr>
          <w:p w:rsidR="00435721" w:rsidRDefault="00435721" w:rsidP="0028323C">
            <w:r>
              <w:t xml:space="preserve">Position du poursuivant / </w:t>
            </w:r>
            <w:r w:rsidR="0028323C">
              <w:t>Position of Prosecutor</w:t>
            </w:r>
          </w:p>
          <w:p w:rsidR="00B112A3" w:rsidRDefault="00226B03" w:rsidP="0028323C">
            <w:r>
              <w:t>______________</w:t>
            </w:r>
          </w:p>
          <w:p w:rsidR="00942B3C" w:rsidRDefault="00586E3E" w:rsidP="00942B3C">
            <w:r>
              <w:t>Aucun</w:t>
            </w:r>
            <w:r w:rsidR="00942B3C">
              <w:t xml:space="preserve"> consentement /</w:t>
            </w:r>
          </w:p>
          <w:p w:rsidR="00B112A3" w:rsidRPr="00435721" w:rsidRDefault="00586E3E" w:rsidP="00942B3C">
            <w:r>
              <w:t>C</w:t>
            </w:r>
            <w:r w:rsidR="00942B3C">
              <w:t>onsent</w:t>
            </w:r>
            <w:r>
              <w:t xml:space="preserve"> denied</w:t>
            </w:r>
          </w:p>
        </w:tc>
        <w:tc>
          <w:tcPr>
            <w:tcW w:w="1860" w:type="dxa"/>
          </w:tcPr>
          <w:p w:rsidR="00A47EF9" w:rsidRDefault="00435721" w:rsidP="00AB137B">
            <w:r>
              <w:t>Résultat / Outcome</w:t>
            </w:r>
            <w:r w:rsidR="00A47EF9">
              <w:t xml:space="preserve"> </w:t>
            </w:r>
          </w:p>
          <w:p w:rsidR="00A47EF9" w:rsidRDefault="00A47EF9" w:rsidP="00AB137B"/>
          <w:p w:rsidR="00A47EF9" w:rsidRDefault="00A47EF9" w:rsidP="00AB137B"/>
          <w:p w:rsidR="00A47EF9" w:rsidRDefault="00226B03" w:rsidP="00AB137B">
            <w:r>
              <w:t>_______________</w:t>
            </w:r>
          </w:p>
          <w:p w:rsidR="00435721" w:rsidRPr="00435721" w:rsidRDefault="00D80EE1" w:rsidP="00AB137B">
            <w:r>
              <w:t>Note 1</w:t>
            </w:r>
          </w:p>
        </w:tc>
      </w:tr>
      <w:tr w:rsidR="00586E3E" w:rsidRPr="00435721" w:rsidTr="00AA3457">
        <w:tc>
          <w:tcPr>
            <w:tcW w:w="1751" w:type="dxa"/>
          </w:tcPr>
          <w:p w:rsidR="007E6B83" w:rsidRPr="0028323C" w:rsidRDefault="0023399F" w:rsidP="00AB137B">
            <w:r>
              <w:t>A14067421R</w:t>
            </w:r>
          </w:p>
        </w:tc>
        <w:tc>
          <w:tcPr>
            <w:tcW w:w="1751" w:type="dxa"/>
          </w:tcPr>
          <w:p w:rsidR="007E6B83" w:rsidRDefault="0023399F" w:rsidP="00AB137B">
            <w:r>
              <w:t>20 janv.</w:t>
            </w:r>
            <w:r w:rsidR="00942B3C">
              <w:t xml:space="preserve"> 201</w:t>
            </w:r>
            <w:r>
              <w:t>4</w:t>
            </w:r>
            <w:r w:rsidR="00942B3C">
              <w:t xml:space="preserve"> / </w:t>
            </w:r>
            <w:r>
              <w:t xml:space="preserve">Jan. 20, </w:t>
            </w:r>
            <w:r w:rsidR="00942B3C">
              <w:t>201</w:t>
            </w:r>
            <w:r>
              <w:t>4</w:t>
            </w:r>
          </w:p>
          <w:p w:rsidR="00942B3C" w:rsidRPr="00435721" w:rsidRDefault="00942B3C" w:rsidP="00AB137B"/>
        </w:tc>
        <w:tc>
          <w:tcPr>
            <w:tcW w:w="1750" w:type="dxa"/>
          </w:tcPr>
          <w:p w:rsidR="007E6B83" w:rsidRDefault="0023399F" w:rsidP="00AB137B">
            <w:r>
              <w:t>Calgary</w:t>
            </w:r>
          </w:p>
        </w:tc>
        <w:tc>
          <w:tcPr>
            <w:tcW w:w="1750" w:type="dxa"/>
          </w:tcPr>
          <w:p w:rsidR="00942B3C" w:rsidRDefault="00586E3E" w:rsidP="00942B3C">
            <w:r>
              <w:t>Aucun</w:t>
            </w:r>
            <w:r w:rsidR="00942B3C">
              <w:t xml:space="preserve"> consentement /</w:t>
            </w:r>
          </w:p>
          <w:p w:rsidR="007E6B83" w:rsidRDefault="00586E3E" w:rsidP="00942B3C">
            <w:r>
              <w:t>C</w:t>
            </w:r>
            <w:r w:rsidR="00942B3C">
              <w:t>onsent</w:t>
            </w:r>
            <w:r>
              <w:t xml:space="preserve"> denied</w:t>
            </w:r>
          </w:p>
        </w:tc>
        <w:tc>
          <w:tcPr>
            <w:tcW w:w="1860" w:type="dxa"/>
          </w:tcPr>
          <w:p w:rsidR="007E6B83" w:rsidRDefault="00AA3457" w:rsidP="00AB137B">
            <w:r w:rsidRPr="00AA3457">
              <w:t>Note 2</w:t>
            </w:r>
          </w:p>
        </w:tc>
      </w:tr>
      <w:tr w:rsidR="00586E3E" w:rsidRPr="00435721" w:rsidTr="00AA3457">
        <w:tc>
          <w:tcPr>
            <w:tcW w:w="1751" w:type="dxa"/>
          </w:tcPr>
          <w:p w:rsidR="007E6B83" w:rsidRPr="0028323C" w:rsidRDefault="00EC7CD0" w:rsidP="00AB137B">
            <w:r>
              <w:t>A20987901R</w:t>
            </w:r>
          </w:p>
        </w:tc>
        <w:tc>
          <w:tcPr>
            <w:tcW w:w="1751" w:type="dxa"/>
          </w:tcPr>
          <w:p w:rsidR="007E6B83" w:rsidRPr="00435721" w:rsidRDefault="00EC7CD0" w:rsidP="00AB137B">
            <w:r>
              <w:t>12 fév. 2015 / Feb. 12, 2015</w:t>
            </w:r>
          </w:p>
        </w:tc>
        <w:tc>
          <w:tcPr>
            <w:tcW w:w="1750" w:type="dxa"/>
          </w:tcPr>
          <w:p w:rsidR="007E6B83" w:rsidRDefault="00EC7CD0" w:rsidP="00AB137B">
            <w:r>
              <w:t>Edmonton</w:t>
            </w:r>
          </w:p>
        </w:tc>
        <w:tc>
          <w:tcPr>
            <w:tcW w:w="1750" w:type="dxa"/>
          </w:tcPr>
          <w:p w:rsidR="006C3A21" w:rsidRDefault="00586E3E" w:rsidP="006C3A21">
            <w:r>
              <w:t xml:space="preserve">Aucun </w:t>
            </w:r>
            <w:r w:rsidR="006C3A21">
              <w:t>consentement /</w:t>
            </w:r>
          </w:p>
          <w:p w:rsidR="007E6B83" w:rsidRDefault="00586E3E" w:rsidP="006C3A21">
            <w:r>
              <w:t>C</w:t>
            </w:r>
            <w:r w:rsidR="006C3A21">
              <w:t>onsent</w:t>
            </w:r>
            <w:r>
              <w:t xml:space="preserve"> denied</w:t>
            </w:r>
          </w:p>
        </w:tc>
        <w:tc>
          <w:tcPr>
            <w:tcW w:w="1860" w:type="dxa"/>
          </w:tcPr>
          <w:p w:rsidR="007E6B83" w:rsidRDefault="00AA3457" w:rsidP="00AB137B">
            <w:r w:rsidRPr="00AA3457">
              <w:t>Note 2</w:t>
            </w:r>
          </w:p>
        </w:tc>
      </w:tr>
      <w:tr w:rsidR="00586E3E" w:rsidRPr="00435721" w:rsidTr="00AA3457">
        <w:tc>
          <w:tcPr>
            <w:tcW w:w="1751" w:type="dxa"/>
          </w:tcPr>
          <w:p w:rsidR="007E6B83" w:rsidRPr="0028323C" w:rsidRDefault="00EC7CD0" w:rsidP="00AB137B">
            <w:r>
              <w:t>A3239316R</w:t>
            </w:r>
          </w:p>
        </w:tc>
        <w:tc>
          <w:tcPr>
            <w:tcW w:w="1751" w:type="dxa"/>
          </w:tcPr>
          <w:p w:rsidR="007E6B83" w:rsidRPr="00435721" w:rsidRDefault="00EC7CD0" w:rsidP="006C3A21">
            <w:r>
              <w:t>12 ma</w:t>
            </w:r>
            <w:r w:rsidR="006C3A21">
              <w:t>r</w:t>
            </w:r>
            <w:r>
              <w:t>s 2015 / March 12, 2015</w:t>
            </w:r>
          </w:p>
        </w:tc>
        <w:tc>
          <w:tcPr>
            <w:tcW w:w="1750" w:type="dxa"/>
          </w:tcPr>
          <w:p w:rsidR="007E6B83" w:rsidRDefault="00EC7CD0" w:rsidP="00AB137B">
            <w:r>
              <w:t>Canmore</w:t>
            </w:r>
          </w:p>
        </w:tc>
        <w:tc>
          <w:tcPr>
            <w:tcW w:w="1750" w:type="dxa"/>
          </w:tcPr>
          <w:p w:rsidR="006C3A21" w:rsidRDefault="00586E3E" w:rsidP="006C3A21">
            <w:r>
              <w:t>Aucun c</w:t>
            </w:r>
            <w:r w:rsidR="006C3A21">
              <w:t>onsentement /</w:t>
            </w:r>
          </w:p>
          <w:p w:rsidR="007E6B83" w:rsidRDefault="00586E3E" w:rsidP="00586E3E">
            <w:r>
              <w:t>C</w:t>
            </w:r>
            <w:r w:rsidR="006C3A21">
              <w:t>onsent</w:t>
            </w:r>
            <w:r>
              <w:t xml:space="preserve"> denied</w:t>
            </w:r>
          </w:p>
        </w:tc>
        <w:tc>
          <w:tcPr>
            <w:tcW w:w="1860" w:type="dxa"/>
          </w:tcPr>
          <w:p w:rsidR="007E6B83" w:rsidRDefault="00AA3457" w:rsidP="00AB137B">
            <w:r w:rsidRPr="00AA3457">
              <w:t>Note 2</w:t>
            </w:r>
          </w:p>
        </w:tc>
      </w:tr>
      <w:tr w:rsidR="00586E3E" w:rsidRPr="00435721" w:rsidTr="00AA3457">
        <w:tc>
          <w:tcPr>
            <w:tcW w:w="1751" w:type="dxa"/>
          </w:tcPr>
          <w:p w:rsidR="007E6B83" w:rsidRPr="0028323C" w:rsidRDefault="00EC7CD0" w:rsidP="00AB137B">
            <w:r>
              <w:t>A27128102R</w:t>
            </w:r>
          </w:p>
        </w:tc>
        <w:tc>
          <w:tcPr>
            <w:tcW w:w="1751" w:type="dxa"/>
          </w:tcPr>
          <w:p w:rsidR="007E6B83" w:rsidRPr="00435721" w:rsidRDefault="00EC7CD0" w:rsidP="00AB137B">
            <w:r>
              <w:t>15 mai 2015</w:t>
            </w:r>
            <w:r w:rsidR="006C3A21">
              <w:t xml:space="preserve"> / May 15, 2015</w:t>
            </w:r>
          </w:p>
        </w:tc>
        <w:tc>
          <w:tcPr>
            <w:tcW w:w="1750" w:type="dxa"/>
          </w:tcPr>
          <w:p w:rsidR="007E6B83" w:rsidRDefault="00EC7CD0" w:rsidP="00AB137B">
            <w:r>
              <w:t>Calgary</w:t>
            </w:r>
          </w:p>
        </w:tc>
        <w:tc>
          <w:tcPr>
            <w:tcW w:w="1750" w:type="dxa"/>
          </w:tcPr>
          <w:p w:rsidR="006C3A21" w:rsidRDefault="00586E3E" w:rsidP="006C3A21">
            <w:r>
              <w:t xml:space="preserve">Aucun </w:t>
            </w:r>
            <w:r w:rsidR="006C3A21">
              <w:t>consentement /</w:t>
            </w:r>
          </w:p>
          <w:p w:rsidR="007E6B83" w:rsidRDefault="00586E3E" w:rsidP="006C3A21">
            <w:r>
              <w:t>C</w:t>
            </w:r>
            <w:r w:rsidR="006C3A21">
              <w:t>onsent</w:t>
            </w:r>
            <w:r>
              <w:t xml:space="preserve"> denied</w:t>
            </w:r>
          </w:p>
        </w:tc>
        <w:tc>
          <w:tcPr>
            <w:tcW w:w="1860" w:type="dxa"/>
          </w:tcPr>
          <w:p w:rsidR="007E6B83" w:rsidRDefault="00AA3457" w:rsidP="00AB137B">
            <w:r w:rsidRPr="00AA3457">
              <w:t>Note 2</w:t>
            </w:r>
          </w:p>
        </w:tc>
      </w:tr>
      <w:tr w:rsidR="00586E3E" w:rsidRPr="00435721" w:rsidTr="00AA3457">
        <w:tc>
          <w:tcPr>
            <w:tcW w:w="1751" w:type="dxa"/>
          </w:tcPr>
          <w:p w:rsidR="006C3A21" w:rsidRDefault="006C3A21" w:rsidP="00AB137B">
            <w:r>
              <w:t>A17330493R</w:t>
            </w:r>
          </w:p>
        </w:tc>
        <w:tc>
          <w:tcPr>
            <w:tcW w:w="1751" w:type="dxa"/>
          </w:tcPr>
          <w:p w:rsidR="006C3A21" w:rsidRDefault="006C3A21" w:rsidP="00AB137B">
            <w:r>
              <w:t>8 juin 2015 / June 8, 2015</w:t>
            </w:r>
          </w:p>
        </w:tc>
        <w:tc>
          <w:tcPr>
            <w:tcW w:w="1750" w:type="dxa"/>
          </w:tcPr>
          <w:p w:rsidR="006C3A21" w:rsidRDefault="006C3A21" w:rsidP="00AB137B">
            <w:r>
              <w:t>Calgary</w:t>
            </w:r>
          </w:p>
        </w:tc>
        <w:tc>
          <w:tcPr>
            <w:tcW w:w="1750" w:type="dxa"/>
          </w:tcPr>
          <w:p w:rsidR="006C3A21" w:rsidRDefault="00586E3E" w:rsidP="006C3A21">
            <w:r>
              <w:t>Aucun c</w:t>
            </w:r>
            <w:r w:rsidR="006C3A21">
              <w:t>onsentement /</w:t>
            </w:r>
          </w:p>
          <w:p w:rsidR="006C3A21" w:rsidRDefault="00586E3E" w:rsidP="006C3A21">
            <w:r>
              <w:t>C</w:t>
            </w:r>
            <w:r w:rsidR="006C3A21">
              <w:t>onsent</w:t>
            </w:r>
            <w:r>
              <w:t xml:space="preserve"> denied</w:t>
            </w:r>
          </w:p>
        </w:tc>
        <w:tc>
          <w:tcPr>
            <w:tcW w:w="1860" w:type="dxa"/>
          </w:tcPr>
          <w:p w:rsidR="006C3A21" w:rsidRDefault="00AA3457" w:rsidP="00AB137B">
            <w:r w:rsidRPr="00AA3457">
              <w:t>Note 2</w:t>
            </w:r>
          </w:p>
        </w:tc>
      </w:tr>
      <w:tr w:rsidR="00586E3E" w:rsidRPr="00435721" w:rsidTr="00AA3457">
        <w:tc>
          <w:tcPr>
            <w:tcW w:w="1751" w:type="dxa"/>
          </w:tcPr>
          <w:p w:rsidR="006C3A21" w:rsidRDefault="006C3A21" w:rsidP="00AB137B">
            <w:r>
              <w:t>B78886161C</w:t>
            </w:r>
          </w:p>
        </w:tc>
        <w:tc>
          <w:tcPr>
            <w:tcW w:w="1751" w:type="dxa"/>
          </w:tcPr>
          <w:p w:rsidR="006C3A21" w:rsidRDefault="006C3A21" w:rsidP="00AB137B">
            <w:r>
              <w:t>22 juin 2015 / June 22, 2015</w:t>
            </w:r>
          </w:p>
        </w:tc>
        <w:tc>
          <w:tcPr>
            <w:tcW w:w="1750" w:type="dxa"/>
          </w:tcPr>
          <w:p w:rsidR="006C3A21" w:rsidRDefault="006C3A21" w:rsidP="00AB137B">
            <w:r>
              <w:t>Calgary</w:t>
            </w:r>
          </w:p>
        </w:tc>
        <w:tc>
          <w:tcPr>
            <w:tcW w:w="1750" w:type="dxa"/>
          </w:tcPr>
          <w:p w:rsidR="006C3A21" w:rsidRDefault="00586E3E" w:rsidP="006C3A21">
            <w:r>
              <w:t xml:space="preserve">Aucun </w:t>
            </w:r>
            <w:r w:rsidR="006C3A21">
              <w:t>consentement /</w:t>
            </w:r>
          </w:p>
          <w:p w:rsidR="006C3A21" w:rsidRDefault="00586E3E" w:rsidP="006C3A21">
            <w:r>
              <w:t>C</w:t>
            </w:r>
            <w:r w:rsidR="006C3A21">
              <w:t>onsent</w:t>
            </w:r>
            <w:r>
              <w:t xml:space="preserve"> denied</w:t>
            </w:r>
          </w:p>
        </w:tc>
        <w:tc>
          <w:tcPr>
            <w:tcW w:w="1860" w:type="dxa"/>
          </w:tcPr>
          <w:p w:rsidR="006C3A21" w:rsidRDefault="00AA3457" w:rsidP="00AB137B">
            <w:r w:rsidRPr="00AA3457">
              <w:t>Note 2</w:t>
            </w:r>
          </w:p>
        </w:tc>
      </w:tr>
      <w:tr w:rsidR="00586E3E" w:rsidRPr="00435721" w:rsidTr="00AA3457">
        <w:tc>
          <w:tcPr>
            <w:tcW w:w="1751" w:type="dxa"/>
          </w:tcPr>
          <w:p w:rsidR="007E6B83" w:rsidRPr="0028323C" w:rsidRDefault="006C3A21" w:rsidP="00AB137B">
            <w:r>
              <w:t>B80205182C</w:t>
            </w:r>
          </w:p>
        </w:tc>
        <w:tc>
          <w:tcPr>
            <w:tcW w:w="1751" w:type="dxa"/>
          </w:tcPr>
          <w:p w:rsidR="007E6B83" w:rsidRPr="00435721" w:rsidRDefault="006C3A21" w:rsidP="00AB137B">
            <w:r>
              <w:t>21 oct, 2015 / Oct. 21, 2015</w:t>
            </w:r>
          </w:p>
        </w:tc>
        <w:tc>
          <w:tcPr>
            <w:tcW w:w="1750" w:type="dxa"/>
          </w:tcPr>
          <w:p w:rsidR="007E6B83" w:rsidRDefault="006C3A21" w:rsidP="00AB137B">
            <w:r>
              <w:t>Calgary</w:t>
            </w:r>
          </w:p>
        </w:tc>
        <w:tc>
          <w:tcPr>
            <w:tcW w:w="1750" w:type="dxa"/>
          </w:tcPr>
          <w:p w:rsidR="006C3A21" w:rsidRDefault="00586E3E" w:rsidP="006C3A21">
            <w:r>
              <w:t>Aucun</w:t>
            </w:r>
            <w:r w:rsidR="006C3A21">
              <w:t xml:space="preserve"> consentement /</w:t>
            </w:r>
          </w:p>
          <w:p w:rsidR="007E6B83" w:rsidRDefault="00586E3E" w:rsidP="006C3A21">
            <w:r>
              <w:t>C</w:t>
            </w:r>
            <w:r w:rsidR="006C3A21">
              <w:t>onsent</w:t>
            </w:r>
            <w:r>
              <w:t xml:space="preserve"> denied</w:t>
            </w:r>
          </w:p>
        </w:tc>
        <w:tc>
          <w:tcPr>
            <w:tcW w:w="1860" w:type="dxa"/>
          </w:tcPr>
          <w:p w:rsidR="007E6B83" w:rsidRDefault="00AA3457" w:rsidP="00AB137B">
            <w:r w:rsidRPr="00AA3457">
              <w:t>Note 2</w:t>
            </w:r>
          </w:p>
        </w:tc>
      </w:tr>
      <w:tr w:rsidR="00586E3E" w:rsidRPr="00435721" w:rsidTr="00AA3457">
        <w:tc>
          <w:tcPr>
            <w:tcW w:w="1751" w:type="dxa"/>
          </w:tcPr>
          <w:p w:rsidR="007E6B83" w:rsidRPr="0028323C" w:rsidRDefault="006C3A21" w:rsidP="00AB137B">
            <w:r>
              <w:t>B80555834C</w:t>
            </w:r>
          </w:p>
        </w:tc>
        <w:tc>
          <w:tcPr>
            <w:tcW w:w="1751" w:type="dxa"/>
          </w:tcPr>
          <w:p w:rsidR="007E6B83" w:rsidRPr="00435721" w:rsidRDefault="006C3A21" w:rsidP="00AB137B">
            <w:r>
              <w:t>3 nov. 2015 / Nov. 3, 2015</w:t>
            </w:r>
          </w:p>
        </w:tc>
        <w:tc>
          <w:tcPr>
            <w:tcW w:w="1750" w:type="dxa"/>
          </w:tcPr>
          <w:p w:rsidR="007E6B83" w:rsidRDefault="006C3A21" w:rsidP="00AB137B">
            <w:r>
              <w:t>Calgary</w:t>
            </w:r>
          </w:p>
        </w:tc>
        <w:tc>
          <w:tcPr>
            <w:tcW w:w="1750" w:type="dxa"/>
          </w:tcPr>
          <w:p w:rsidR="006C3A21" w:rsidRDefault="00586E3E" w:rsidP="006C3A21">
            <w:r>
              <w:t>Aucun</w:t>
            </w:r>
            <w:r w:rsidR="006C3A21">
              <w:t xml:space="preserve"> consentement /</w:t>
            </w:r>
          </w:p>
          <w:p w:rsidR="007E6B83" w:rsidRDefault="00586E3E" w:rsidP="006C3A21">
            <w:r>
              <w:t>C</w:t>
            </w:r>
            <w:r w:rsidR="006C3A21">
              <w:t>onsent</w:t>
            </w:r>
            <w:r>
              <w:t xml:space="preserve"> denied</w:t>
            </w:r>
          </w:p>
        </w:tc>
        <w:tc>
          <w:tcPr>
            <w:tcW w:w="1860" w:type="dxa"/>
          </w:tcPr>
          <w:p w:rsidR="007E6B83" w:rsidRDefault="00AA3457" w:rsidP="00AB137B">
            <w:r w:rsidRPr="00AA3457">
              <w:t>Note 2</w:t>
            </w:r>
          </w:p>
        </w:tc>
      </w:tr>
      <w:tr w:rsidR="00586E3E" w:rsidRPr="00435721" w:rsidTr="00AA3457">
        <w:tc>
          <w:tcPr>
            <w:tcW w:w="1751" w:type="dxa"/>
          </w:tcPr>
          <w:p w:rsidR="007E6B83" w:rsidRPr="0028323C" w:rsidRDefault="00942B3C" w:rsidP="00AB137B">
            <w:r w:rsidRPr="00942B3C">
              <w:t>A35680131R</w:t>
            </w:r>
          </w:p>
        </w:tc>
        <w:tc>
          <w:tcPr>
            <w:tcW w:w="1751" w:type="dxa"/>
          </w:tcPr>
          <w:p w:rsidR="00942B3C" w:rsidRDefault="00942B3C" w:rsidP="00942B3C">
            <w:r>
              <w:t>17 nov. 2015 /</w:t>
            </w:r>
          </w:p>
          <w:p w:rsidR="007E6B83" w:rsidRPr="00435721" w:rsidRDefault="00942B3C" w:rsidP="00942B3C">
            <w:r>
              <w:t>Nov. 17, 2015</w:t>
            </w:r>
          </w:p>
        </w:tc>
        <w:tc>
          <w:tcPr>
            <w:tcW w:w="1750" w:type="dxa"/>
          </w:tcPr>
          <w:p w:rsidR="007E6B83" w:rsidRDefault="00942B3C" w:rsidP="00AB137B">
            <w:r>
              <w:t>Red Deer</w:t>
            </w:r>
          </w:p>
        </w:tc>
        <w:tc>
          <w:tcPr>
            <w:tcW w:w="1750" w:type="dxa"/>
          </w:tcPr>
          <w:p w:rsidR="00E02F4A" w:rsidRDefault="00E02F4A" w:rsidP="00E02F4A">
            <w:r>
              <w:t>Aucun consentement /</w:t>
            </w:r>
          </w:p>
          <w:p w:rsidR="007E6B83" w:rsidRDefault="00E02F4A" w:rsidP="00E02F4A">
            <w:r>
              <w:t>Consent denied</w:t>
            </w:r>
          </w:p>
        </w:tc>
        <w:tc>
          <w:tcPr>
            <w:tcW w:w="1860" w:type="dxa"/>
          </w:tcPr>
          <w:p w:rsidR="007E6B83" w:rsidRDefault="00E02F4A" w:rsidP="00E02F4A">
            <w:r>
              <w:t>Demande d’ajournement refusé</w:t>
            </w:r>
            <w:r w:rsidR="00942B3C" w:rsidRPr="00942B3C">
              <w:t xml:space="preserve"> / </w:t>
            </w:r>
            <w:r>
              <w:t xml:space="preserve">Request </w:t>
            </w:r>
            <w:r>
              <w:lastRenderedPageBreak/>
              <w:t>to adjourn denied</w:t>
            </w:r>
          </w:p>
        </w:tc>
      </w:tr>
      <w:tr w:rsidR="00586E3E" w:rsidRPr="00435721" w:rsidTr="00AA3457">
        <w:tc>
          <w:tcPr>
            <w:tcW w:w="1751" w:type="dxa"/>
          </w:tcPr>
          <w:p w:rsidR="007E6B83" w:rsidRPr="0028323C" w:rsidRDefault="007E6B83" w:rsidP="00AB137B">
            <w:r w:rsidRPr="007E6B83">
              <w:lastRenderedPageBreak/>
              <w:t>B81705540C</w:t>
            </w:r>
          </w:p>
        </w:tc>
        <w:tc>
          <w:tcPr>
            <w:tcW w:w="1751" w:type="dxa"/>
          </w:tcPr>
          <w:p w:rsidR="007E6B83" w:rsidRDefault="007E6B83" w:rsidP="00AB137B">
            <w:r>
              <w:t>10 fév. 2016 /</w:t>
            </w:r>
          </w:p>
          <w:p w:rsidR="007E6B83" w:rsidRPr="00435721" w:rsidRDefault="007E6B83" w:rsidP="00AB137B">
            <w:r>
              <w:t>Feb. 10, 2016</w:t>
            </w:r>
          </w:p>
        </w:tc>
        <w:tc>
          <w:tcPr>
            <w:tcW w:w="1750" w:type="dxa"/>
          </w:tcPr>
          <w:p w:rsidR="007E6B83" w:rsidRDefault="007E6B83" w:rsidP="00AB137B">
            <w:r>
              <w:t>Calgary</w:t>
            </w:r>
          </w:p>
        </w:tc>
        <w:tc>
          <w:tcPr>
            <w:tcW w:w="1750" w:type="dxa"/>
          </w:tcPr>
          <w:p w:rsidR="007E6B83" w:rsidRDefault="00586E3E" w:rsidP="007E6B83">
            <w:r>
              <w:t xml:space="preserve">Aucun </w:t>
            </w:r>
            <w:r w:rsidR="007E6B83">
              <w:t>consentement /</w:t>
            </w:r>
          </w:p>
          <w:p w:rsidR="007E6B83" w:rsidRDefault="00586E3E" w:rsidP="007E6B83">
            <w:r>
              <w:t>C</w:t>
            </w:r>
            <w:r w:rsidR="007E6B83">
              <w:t>onsent</w:t>
            </w:r>
            <w:r>
              <w:t xml:space="preserve"> denied</w:t>
            </w:r>
          </w:p>
        </w:tc>
        <w:tc>
          <w:tcPr>
            <w:tcW w:w="1860" w:type="dxa"/>
          </w:tcPr>
          <w:p w:rsidR="007E6B83" w:rsidRDefault="00AA3457" w:rsidP="00AB137B">
            <w:r w:rsidRPr="00AA3457">
              <w:t>Note 2</w:t>
            </w:r>
          </w:p>
        </w:tc>
      </w:tr>
    </w:tbl>
    <w:p w:rsidR="0028323C" w:rsidRDefault="0028323C" w:rsidP="00AB137B"/>
    <w:tbl>
      <w:tblPr>
        <w:tblStyle w:val="TableGrid"/>
        <w:tblW w:w="0" w:type="auto"/>
        <w:tblLook w:val="04A0" w:firstRow="1" w:lastRow="0" w:firstColumn="1" w:lastColumn="0" w:noHBand="0" w:noVBand="1"/>
      </w:tblPr>
      <w:tblGrid>
        <w:gridCol w:w="4393"/>
        <w:gridCol w:w="4393"/>
      </w:tblGrid>
      <w:tr w:rsidR="00D80EE1" w:rsidRPr="002257B8" w:rsidTr="00D80EE1">
        <w:tc>
          <w:tcPr>
            <w:tcW w:w="4393" w:type="dxa"/>
          </w:tcPr>
          <w:p w:rsidR="00D80EE1" w:rsidRDefault="00D80EE1" w:rsidP="00AB137B">
            <w:r>
              <w:t>Note 1 : Le 11 mars 2014, à la 5</w:t>
            </w:r>
            <w:r w:rsidRPr="00D80EE1">
              <w:rPr>
                <w:vertAlign w:val="superscript"/>
              </w:rPr>
              <w:t>e</w:t>
            </w:r>
            <w:r>
              <w:t xml:space="preserve"> comparution, </w:t>
            </w:r>
            <w:r w:rsidR="00AA3457">
              <w:t xml:space="preserve">la </w:t>
            </w:r>
            <w:r>
              <w:t xml:space="preserve">Couronne </w:t>
            </w:r>
            <w:r w:rsidR="00AA3457">
              <w:t xml:space="preserve">a </w:t>
            </w:r>
            <w:r>
              <w:t>suspend</w:t>
            </w:r>
            <w:r w:rsidR="00AA3457">
              <w:t>u</w:t>
            </w:r>
            <w:r>
              <w:t xml:space="preserve"> l’instance.</w:t>
            </w:r>
          </w:p>
          <w:p w:rsidR="006C3A21" w:rsidRDefault="006C3A21" w:rsidP="00AB137B"/>
          <w:p w:rsidR="006C3A21" w:rsidRPr="006C3A21" w:rsidRDefault="006C3A21" w:rsidP="006C3A21">
            <w:r>
              <w:t xml:space="preserve">Note 2 : </w:t>
            </w:r>
            <w:r w:rsidR="00801D32">
              <w:t xml:space="preserve">Toutes ces </w:t>
            </w:r>
            <w:r>
              <w:t>instance</w:t>
            </w:r>
            <w:r w:rsidR="00801D32">
              <w:t>s</w:t>
            </w:r>
            <w:r>
              <w:t xml:space="preserve"> </w:t>
            </w:r>
            <w:r w:rsidR="00801D32">
              <w:t>ont</w:t>
            </w:r>
            <w:r>
              <w:t xml:space="preserve"> été ajournée</w:t>
            </w:r>
            <w:r w:rsidR="00801D32">
              <w:t>s</w:t>
            </w:r>
            <w:r>
              <w:t xml:space="preserve"> en attendant une décision de la Cour du Banc de la Reine sur la validité du Règlement.</w:t>
            </w:r>
          </w:p>
          <w:p w:rsidR="00D80EE1" w:rsidRPr="006C3A21" w:rsidRDefault="00D80EE1" w:rsidP="00AB137B"/>
        </w:tc>
        <w:tc>
          <w:tcPr>
            <w:tcW w:w="4393" w:type="dxa"/>
          </w:tcPr>
          <w:p w:rsidR="00D80EE1" w:rsidRDefault="00D80EE1" w:rsidP="00AB137B">
            <w:pPr>
              <w:rPr>
                <w:lang w:val="en-CA"/>
              </w:rPr>
            </w:pPr>
            <w:r w:rsidRPr="00D80EE1">
              <w:rPr>
                <w:lang w:val="en-CA"/>
              </w:rPr>
              <w:t xml:space="preserve">Note 1: On March </w:t>
            </w:r>
            <w:r>
              <w:rPr>
                <w:lang w:val="en-CA"/>
              </w:rPr>
              <w:t xml:space="preserve">11, </w:t>
            </w:r>
            <w:r w:rsidRPr="00D80EE1">
              <w:rPr>
                <w:lang w:val="en-CA"/>
              </w:rPr>
              <w:t xml:space="preserve">2014, </w:t>
            </w:r>
            <w:r w:rsidR="002257B8">
              <w:rPr>
                <w:lang w:val="en-CA"/>
              </w:rPr>
              <w:t>at</w:t>
            </w:r>
            <w:bookmarkStart w:id="6" w:name="_GoBack"/>
            <w:bookmarkEnd w:id="6"/>
            <w:r w:rsidRPr="00D80EE1">
              <w:rPr>
                <w:lang w:val="en-CA"/>
              </w:rPr>
              <w:t xml:space="preserve"> the 5</w:t>
            </w:r>
            <w:r w:rsidR="00AA3457">
              <w:rPr>
                <w:lang w:val="en-CA"/>
              </w:rPr>
              <w:t>th attendance, the Crown directed</w:t>
            </w:r>
            <w:r w:rsidRPr="00D80EE1">
              <w:rPr>
                <w:lang w:val="en-CA"/>
              </w:rPr>
              <w:t xml:space="preserve"> a stay of proceedings.</w:t>
            </w:r>
          </w:p>
          <w:p w:rsidR="006C3A21" w:rsidRPr="00D80EE1" w:rsidRDefault="00801D32" w:rsidP="006C3A21">
            <w:pPr>
              <w:rPr>
                <w:lang w:val="en-CA"/>
              </w:rPr>
            </w:pPr>
            <w:r>
              <w:rPr>
                <w:lang w:val="en-CA"/>
              </w:rPr>
              <w:t>Note 2: All these</w:t>
            </w:r>
            <w:r w:rsidR="006C3A21" w:rsidRPr="006C3A21">
              <w:rPr>
                <w:lang w:val="en-CA"/>
              </w:rPr>
              <w:t xml:space="preserve"> proceeding has been adjourned pending Queen’s Bench decision on </w:t>
            </w:r>
            <w:r w:rsidR="006C3A21">
              <w:rPr>
                <w:lang w:val="en-CA"/>
              </w:rPr>
              <w:t xml:space="preserve">the </w:t>
            </w:r>
            <w:r w:rsidR="006C3A21" w:rsidRPr="006C3A21">
              <w:rPr>
                <w:lang w:val="en-CA"/>
              </w:rPr>
              <w:t>validity of the Regulation.</w:t>
            </w:r>
          </w:p>
        </w:tc>
      </w:tr>
    </w:tbl>
    <w:p w:rsidR="00D80EE1" w:rsidRPr="00D80EE1" w:rsidRDefault="00D80EE1" w:rsidP="00AB137B">
      <w:pPr>
        <w:rPr>
          <w:lang w:val="en-CA"/>
        </w:rPr>
      </w:pPr>
    </w:p>
    <w:tbl>
      <w:tblPr>
        <w:tblStyle w:val="TableGrid"/>
        <w:tblW w:w="0" w:type="auto"/>
        <w:tblLook w:val="04A0" w:firstRow="1" w:lastRow="0" w:firstColumn="1" w:lastColumn="0" w:noHBand="0" w:noVBand="1"/>
      </w:tblPr>
      <w:tblGrid>
        <w:gridCol w:w="4393"/>
        <w:gridCol w:w="4393"/>
      </w:tblGrid>
      <w:tr w:rsidR="00B112A3" w:rsidRPr="002257B8" w:rsidTr="00B112A3">
        <w:tc>
          <w:tcPr>
            <w:tcW w:w="4393" w:type="dxa"/>
          </w:tcPr>
          <w:p w:rsidR="00B112A3" w:rsidRDefault="00B112A3" w:rsidP="00AB137B">
            <w:r w:rsidRPr="00B112A3">
              <w:t>Requ</w:t>
            </w:r>
            <w:r>
              <w:t>ête présentées sous l’article 4</w:t>
            </w:r>
            <w:r w:rsidRPr="00B112A3">
              <w:t xml:space="preserve"> du Règlement</w:t>
            </w:r>
          </w:p>
        </w:tc>
        <w:tc>
          <w:tcPr>
            <w:tcW w:w="4393" w:type="dxa"/>
          </w:tcPr>
          <w:p w:rsidR="00B112A3" w:rsidRDefault="00B112A3" w:rsidP="00B112A3">
            <w:pPr>
              <w:rPr>
                <w:lang w:val="en-CA"/>
              </w:rPr>
            </w:pPr>
            <w:r w:rsidRPr="00226B03">
              <w:rPr>
                <w:lang w:val="en-CA"/>
              </w:rPr>
              <w:t xml:space="preserve">Request made under Section 4 of </w:t>
            </w:r>
            <w:r w:rsidRPr="00B112A3">
              <w:rPr>
                <w:lang w:val="en-CA"/>
              </w:rPr>
              <w:t>the Regulation:</w:t>
            </w:r>
          </w:p>
          <w:p w:rsidR="00B112A3" w:rsidRPr="00B112A3" w:rsidRDefault="00B112A3" w:rsidP="00B112A3">
            <w:pPr>
              <w:pStyle w:val="sidenotexsb1"/>
              <w:shd w:val="clear" w:color="auto" w:fill="FFFFFF"/>
              <w:rPr>
                <w:color w:val="000000"/>
                <w:lang w:val="en-CA"/>
              </w:rPr>
            </w:pPr>
            <w:bookmarkStart w:id="7" w:name="sec4subsec1"/>
            <w:bookmarkStart w:id="8" w:name="sec4"/>
            <w:bookmarkEnd w:id="7"/>
            <w:bookmarkEnd w:id="8"/>
            <w:r w:rsidRPr="00B112A3">
              <w:rPr>
                <w:color w:val="000000"/>
                <w:lang w:val="en-CA"/>
              </w:rPr>
              <w:t xml:space="preserve">Holding proceeding in English and French </w:t>
            </w:r>
          </w:p>
          <w:p w:rsidR="00B112A3" w:rsidRPr="00B112A3" w:rsidRDefault="00B112A3" w:rsidP="00B112A3">
            <w:pPr>
              <w:pStyle w:val="section1"/>
              <w:shd w:val="clear" w:color="auto" w:fill="FFFFFF"/>
              <w:rPr>
                <w:color w:val="000000"/>
                <w:lang w:val="en-CA"/>
              </w:rPr>
            </w:pPr>
            <w:r w:rsidRPr="00B112A3">
              <w:rPr>
                <w:rStyle w:val="sectionnumber2"/>
                <w:color w:val="000000"/>
                <w:lang w:val="en-CA"/>
              </w:rPr>
              <w:t>4</w:t>
            </w:r>
            <w:r w:rsidRPr="00B112A3">
              <w:rPr>
                <w:rStyle w:val="canliisectionwithsubsection1"/>
                <w:b/>
                <w:bCs/>
                <w:lang w:val="en-CA"/>
              </w:rPr>
              <w:t>(1)</w:t>
            </w:r>
            <w:r w:rsidRPr="00B112A3">
              <w:rPr>
                <w:color w:val="000000"/>
                <w:lang w:val="en-CA"/>
              </w:rPr>
              <w:t> A judge may, at the request of a defendant and with the consent of the prosecutor, conduct a proceeding in both English and French.</w:t>
            </w:r>
          </w:p>
          <w:p w:rsidR="00B112A3" w:rsidRPr="00B112A3" w:rsidRDefault="00B112A3" w:rsidP="00B112A3">
            <w:pPr>
              <w:pStyle w:val="subsection1"/>
              <w:shd w:val="clear" w:color="auto" w:fill="FFFFFF"/>
              <w:rPr>
                <w:color w:val="000000"/>
                <w:lang w:val="en-CA"/>
              </w:rPr>
            </w:pPr>
            <w:bookmarkStart w:id="9" w:name="sec4subsec2"/>
            <w:bookmarkEnd w:id="9"/>
            <w:r w:rsidRPr="00B112A3">
              <w:rPr>
                <w:rStyle w:val="canliisubsection1"/>
                <w:b/>
                <w:bCs/>
                <w:lang w:val="en-CA"/>
              </w:rPr>
              <w:t>(2)</w:t>
            </w:r>
            <w:r w:rsidRPr="00B112A3">
              <w:rPr>
                <w:color w:val="000000"/>
                <w:lang w:val="en-CA"/>
              </w:rPr>
              <w:t>  If the parties are unable to agree respecting the circumstances in which, and the extent to which, the parties may use each language in a proceeding referred to in subsection (1), the judge  may</w:t>
            </w:r>
          </w:p>
          <w:p w:rsidR="00B112A3" w:rsidRPr="00B112A3" w:rsidRDefault="00B112A3" w:rsidP="00B112A3">
            <w:pPr>
              <w:pStyle w:val="clause1"/>
              <w:shd w:val="clear" w:color="auto" w:fill="FFFFFF"/>
              <w:rPr>
                <w:color w:val="000000"/>
                <w:lang w:val="en-CA"/>
              </w:rPr>
            </w:pPr>
            <w:r w:rsidRPr="00B112A3">
              <w:rPr>
                <w:color w:val="000000"/>
                <w:lang w:val="en-CA"/>
              </w:rPr>
              <w:t>                             (a)   at the request of the parties, provide further directions for conducting the proceeding in both English and French, or</w:t>
            </w:r>
          </w:p>
          <w:p w:rsidR="00B112A3" w:rsidRPr="00B112A3" w:rsidRDefault="00B112A3" w:rsidP="00B112A3">
            <w:pPr>
              <w:pStyle w:val="clause1"/>
              <w:shd w:val="clear" w:color="auto" w:fill="FFFFFF"/>
              <w:rPr>
                <w:color w:val="000000"/>
                <w:lang w:val="en-CA"/>
              </w:rPr>
            </w:pPr>
            <w:r w:rsidRPr="00B112A3">
              <w:rPr>
                <w:color w:val="000000"/>
                <w:lang w:val="en-CA"/>
              </w:rPr>
              <w:t xml:space="preserve">                             (b)   direct the Crown to arrange for an interpreter for the proceeding as if the defendant had given notice in accordance with </w:t>
            </w:r>
            <w:hyperlink r:id="rId8" w:anchor="sec2subsec1_smooth" w:history="1">
              <w:r w:rsidRPr="00B112A3">
                <w:rPr>
                  <w:color w:val="027ABB"/>
                  <w:lang w:val="en-CA"/>
                </w:rPr>
                <w:t>section 2(1)</w:t>
              </w:r>
            </w:hyperlink>
            <w:r w:rsidRPr="00B112A3">
              <w:rPr>
                <w:color w:val="000000"/>
                <w:lang w:val="en-CA"/>
              </w:rPr>
              <w:t>.</w:t>
            </w:r>
          </w:p>
          <w:p w:rsidR="00B112A3" w:rsidRPr="00B112A3" w:rsidRDefault="00B112A3" w:rsidP="00B112A3">
            <w:pPr>
              <w:rPr>
                <w:lang w:val="en-CA"/>
              </w:rPr>
            </w:pPr>
          </w:p>
        </w:tc>
      </w:tr>
    </w:tbl>
    <w:p w:rsidR="00B112A3" w:rsidRDefault="00B112A3" w:rsidP="00AB137B">
      <w:pPr>
        <w:rPr>
          <w:lang w:val="en-CA"/>
        </w:rPr>
      </w:pPr>
    </w:p>
    <w:p w:rsidR="00B8231B" w:rsidRDefault="00B8231B" w:rsidP="00AB137B">
      <w:pPr>
        <w:rPr>
          <w:lang w:val="en-CA"/>
        </w:rPr>
      </w:pPr>
    </w:p>
    <w:p w:rsidR="00B8231B" w:rsidRDefault="00B8231B" w:rsidP="00AB137B">
      <w:pPr>
        <w:rPr>
          <w:lang w:val="en-CA"/>
        </w:rPr>
      </w:pPr>
    </w:p>
    <w:p w:rsidR="00B8231B" w:rsidRPr="00B112A3" w:rsidRDefault="00B8231B" w:rsidP="00AB137B">
      <w:pPr>
        <w:rPr>
          <w:lang w:val="en-CA"/>
        </w:rPr>
      </w:pPr>
    </w:p>
    <w:tbl>
      <w:tblPr>
        <w:tblStyle w:val="TableGrid"/>
        <w:tblW w:w="0" w:type="auto"/>
        <w:tblLook w:val="04A0" w:firstRow="1" w:lastRow="0" w:firstColumn="1" w:lastColumn="0" w:noHBand="0" w:noVBand="1"/>
      </w:tblPr>
      <w:tblGrid>
        <w:gridCol w:w="1756"/>
        <w:gridCol w:w="1756"/>
        <w:gridCol w:w="1756"/>
        <w:gridCol w:w="1756"/>
        <w:gridCol w:w="1756"/>
      </w:tblGrid>
      <w:tr w:rsidR="0028323C" w:rsidRPr="002257B8" w:rsidTr="007E6B83">
        <w:tc>
          <w:tcPr>
            <w:tcW w:w="1756" w:type="dxa"/>
          </w:tcPr>
          <w:p w:rsidR="0028323C" w:rsidRDefault="0028323C" w:rsidP="005A67A7">
            <w:r w:rsidRPr="0028323C">
              <w:lastRenderedPageBreak/>
              <w:t>Numéro du dossier de la Cour / Court File Number</w:t>
            </w:r>
          </w:p>
          <w:p w:rsidR="00B112A3" w:rsidRDefault="00B112A3" w:rsidP="005A67A7"/>
          <w:p w:rsidR="0028323C" w:rsidRDefault="0028323C" w:rsidP="005A67A7">
            <w:r w:rsidRPr="0028323C">
              <w:t>B 74160424C</w:t>
            </w:r>
          </w:p>
          <w:p w:rsidR="0028323C" w:rsidRDefault="0028323C" w:rsidP="005A67A7"/>
          <w:p w:rsidR="0028323C" w:rsidRDefault="0028323C" w:rsidP="005A67A7"/>
          <w:p w:rsidR="0028323C" w:rsidRPr="0028323C" w:rsidRDefault="0028323C" w:rsidP="005A67A7"/>
        </w:tc>
        <w:tc>
          <w:tcPr>
            <w:tcW w:w="1756" w:type="dxa"/>
          </w:tcPr>
          <w:p w:rsidR="0028323C" w:rsidRDefault="0028323C" w:rsidP="005A67A7">
            <w:r w:rsidRPr="00435721">
              <w:t>Date de la demande initiale</w:t>
            </w:r>
            <w:r>
              <w:t>/ Date of initial request</w:t>
            </w:r>
          </w:p>
          <w:p w:rsidR="00B112A3" w:rsidRDefault="00B112A3" w:rsidP="005A67A7"/>
          <w:p w:rsidR="0028323C" w:rsidRDefault="0028323C" w:rsidP="005A67A7">
            <w:r>
              <w:t>12 fév. 2016</w:t>
            </w:r>
          </w:p>
          <w:p w:rsidR="0028323C" w:rsidRPr="00435721" w:rsidRDefault="0028323C" w:rsidP="005A67A7">
            <w:r>
              <w:t>Feb. 12, 2016</w:t>
            </w:r>
          </w:p>
        </w:tc>
        <w:tc>
          <w:tcPr>
            <w:tcW w:w="1756" w:type="dxa"/>
          </w:tcPr>
          <w:p w:rsidR="0028323C" w:rsidRDefault="0028323C" w:rsidP="005A67A7">
            <w:r>
              <w:t>Endroit / Location</w:t>
            </w:r>
          </w:p>
          <w:p w:rsidR="0028323C" w:rsidRDefault="0028323C" w:rsidP="005A67A7"/>
          <w:p w:rsidR="0028323C" w:rsidRDefault="0028323C" w:rsidP="005A67A7"/>
          <w:p w:rsidR="0028323C" w:rsidRDefault="0028323C" w:rsidP="005A67A7"/>
          <w:p w:rsidR="0028323C" w:rsidRPr="00435721" w:rsidRDefault="0028323C" w:rsidP="005A67A7">
            <w:r>
              <w:t>Calgary</w:t>
            </w:r>
          </w:p>
        </w:tc>
        <w:tc>
          <w:tcPr>
            <w:tcW w:w="1756" w:type="dxa"/>
          </w:tcPr>
          <w:p w:rsidR="0028323C" w:rsidRDefault="0028323C" w:rsidP="005A67A7">
            <w:r>
              <w:t>Position du poursuivant / Position of Prosecutor</w:t>
            </w:r>
          </w:p>
          <w:p w:rsidR="00B112A3" w:rsidRDefault="00B112A3" w:rsidP="005A67A7"/>
          <w:p w:rsidR="0028323C" w:rsidRDefault="00586E3E" w:rsidP="005A67A7">
            <w:r>
              <w:t>Aucun</w:t>
            </w:r>
            <w:r w:rsidR="0028323C">
              <w:t xml:space="preserve"> consentement /</w:t>
            </w:r>
          </w:p>
          <w:p w:rsidR="0028323C" w:rsidRPr="00435721" w:rsidRDefault="00586E3E" w:rsidP="005A67A7">
            <w:r>
              <w:t>C</w:t>
            </w:r>
            <w:r w:rsidR="0028323C">
              <w:t>onsent</w:t>
            </w:r>
            <w:r>
              <w:t xml:space="preserve"> denied</w:t>
            </w:r>
          </w:p>
        </w:tc>
        <w:tc>
          <w:tcPr>
            <w:tcW w:w="1756" w:type="dxa"/>
          </w:tcPr>
          <w:p w:rsidR="0028323C" w:rsidRDefault="0028323C" w:rsidP="005A67A7">
            <w:r>
              <w:t>Résultat / Outcome</w:t>
            </w:r>
          </w:p>
          <w:p w:rsidR="0028323C" w:rsidRDefault="0028323C" w:rsidP="005A67A7"/>
          <w:p w:rsidR="0028323C" w:rsidRDefault="0028323C" w:rsidP="005A67A7"/>
          <w:p w:rsidR="00B112A3" w:rsidRDefault="00B112A3" w:rsidP="005A67A7"/>
          <w:p w:rsidR="0028323C" w:rsidRDefault="0028323C" w:rsidP="005A67A7">
            <w:r>
              <w:t>Ajourné</w:t>
            </w:r>
            <w:r w:rsidR="00AA3457">
              <w:t>e</w:t>
            </w:r>
            <w:r>
              <w:t xml:space="preserve"> en attendant une décision de la Cour du Banc de la Reine sur la validité du Règlement.</w:t>
            </w:r>
          </w:p>
          <w:p w:rsidR="0028323C" w:rsidRPr="0028323C" w:rsidRDefault="0028323C" w:rsidP="005A67A7">
            <w:pPr>
              <w:rPr>
                <w:lang w:val="en-CA"/>
              </w:rPr>
            </w:pPr>
            <w:r w:rsidRPr="00B112A3">
              <w:t xml:space="preserve"> </w:t>
            </w:r>
            <w:r w:rsidRPr="0028323C">
              <w:rPr>
                <w:lang w:val="en-CA"/>
              </w:rPr>
              <w:t>/ A</w:t>
            </w:r>
            <w:r w:rsidR="00B112A3">
              <w:rPr>
                <w:lang w:val="en-CA"/>
              </w:rPr>
              <w:t>d</w:t>
            </w:r>
            <w:r w:rsidRPr="0028323C">
              <w:rPr>
                <w:lang w:val="en-CA"/>
              </w:rPr>
              <w:t xml:space="preserve">journed pending Queen’s Bench decision on </w:t>
            </w:r>
            <w:r>
              <w:rPr>
                <w:lang w:val="en-CA"/>
              </w:rPr>
              <w:t>validity of the Regulation.</w:t>
            </w:r>
          </w:p>
          <w:p w:rsidR="0028323C" w:rsidRPr="0028323C" w:rsidRDefault="0028323C" w:rsidP="005A67A7">
            <w:pPr>
              <w:rPr>
                <w:lang w:val="en-CA"/>
              </w:rPr>
            </w:pPr>
          </w:p>
          <w:p w:rsidR="0028323C" w:rsidRPr="0028323C" w:rsidRDefault="0028323C" w:rsidP="005A67A7">
            <w:pPr>
              <w:rPr>
                <w:lang w:val="en-CA"/>
              </w:rPr>
            </w:pPr>
          </w:p>
        </w:tc>
      </w:tr>
    </w:tbl>
    <w:p w:rsidR="0028323C" w:rsidRPr="0028323C" w:rsidRDefault="0028323C" w:rsidP="00AB137B">
      <w:pPr>
        <w:rPr>
          <w:lang w:val="en-CA"/>
        </w:rPr>
      </w:pPr>
    </w:p>
    <w:p w:rsidR="00AB137B" w:rsidRPr="00226B03" w:rsidRDefault="00AB137B" w:rsidP="00AB137B">
      <w:pPr>
        <w:rPr>
          <w:lang w:val="en-CA"/>
        </w:rPr>
      </w:pPr>
    </w:p>
    <w:p w:rsidR="00AB137B" w:rsidRPr="00226B03" w:rsidRDefault="00AB137B" w:rsidP="00AB137B">
      <w:pPr>
        <w:rPr>
          <w:lang w:val="en-CA"/>
        </w:rPr>
      </w:pPr>
    </w:p>
    <w:p w:rsidR="00DB6372" w:rsidRPr="00B8231B" w:rsidRDefault="00AB137B" w:rsidP="00AB137B">
      <w:pPr>
        <w:rPr>
          <w:lang w:val="en-CA"/>
        </w:rPr>
      </w:pPr>
      <w:r w:rsidRPr="00B8231B">
        <w:rPr>
          <w:lang w:val="en-CA"/>
        </w:rPr>
        <w:t xml:space="preserve">  </w:t>
      </w:r>
    </w:p>
    <w:p w:rsidR="00AB137B" w:rsidRPr="00B8231B" w:rsidRDefault="00AB137B" w:rsidP="00AB137B">
      <w:pPr>
        <w:rPr>
          <w:lang w:val="en-CA"/>
        </w:rPr>
      </w:pPr>
    </w:p>
    <w:sectPr w:rsidR="00AB137B" w:rsidRPr="00B8231B" w:rsidSect="00B112A3">
      <w:headerReference w:type="default" r:id="rId9"/>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80F" w:rsidRDefault="0085480F" w:rsidP="00B112A3">
      <w:pPr>
        <w:spacing w:after="0" w:line="240" w:lineRule="auto"/>
      </w:pPr>
      <w:r>
        <w:separator/>
      </w:r>
    </w:p>
  </w:endnote>
  <w:endnote w:type="continuationSeparator" w:id="0">
    <w:p w:rsidR="0085480F" w:rsidRDefault="0085480F" w:rsidP="00B1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80F" w:rsidRDefault="0085480F" w:rsidP="00B112A3">
      <w:pPr>
        <w:spacing w:after="0" w:line="240" w:lineRule="auto"/>
      </w:pPr>
      <w:r>
        <w:separator/>
      </w:r>
    </w:p>
  </w:footnote>
  <w:footnote w:type="continuationSeparator" w:id="0">
    <w:p w:rsidR="0085480F" w:rsidRDefault="0085480F" w:rsidP="00B11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194697"/>
      <w:docPartObj>
        <w:docPartGallery w:val="Page Numbers (Top of Page)"/>
        <w:docPartUnique/>
      </w:docPartObj>
    </w:sdtPr>
    <w:sdtEndPr>
      <w:rPr>
        <w:noProof/>
      </w:rPr>
    </w:sdtEndPr>
    <w:sdtContent>
      <w:p w:rsidR="00B112A3" w:rsidRDefault="00B112A3">
        <w:pPr>
          <w:pStyle w:val="Header"/>
          <w:jc w:val="right"/>
        </w:pPr>
        <w:r>
          <w:fldChar w:fldCharType="begin"/>
        </w:r>
        <w:r>
          <w:instrText xml:space="preserve"> PAGE   \* MERGEFORMAT </w:instrText>
        </w:r>
        <w:r>
          <w:fldChar w:fldCharType="separate"/>
        </w:r>
        <w:r w:rsidR="002257B8">
          <w:rPr>
            <w:noProof/>
          </w:rPr>
          <w:t>3</w:t>
        </w:r>
        <w:r>
          <w:rPr>
            <w:noProof/>
          </w:rPr>
          <w:fldChar w:fldCharType="end"/>
        </w:r>
      </w:p>
    </w:sdtContent>
  </w:sdt>
  <w:p w:rsidR="00B112A3" w:rsidRDefault="00B11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8A"/>
    <w:rsid w:val="001F0D8A"/>
    <w:rsid w:val="002257B8"/>
    <w:rsid w:val="00226B03"/>
    <w:rsid w:val="0023399F"/>
    <w:rsid w:val="0028323C"/>
    <w:rsid w:val="002F06BE"/>
    <w:rsid w:val="003164E1"/>
    <w:rsid w:val="00435721"/>
    <w:rsid w:val="004B3848"/>
    <w:rsid w:val="004C0E69"/>
    <w:rsid w:val="00572DD6"/>
    <w:rsid w:val="00586E3E"/>
    <w:rsid w:val="005B2FE3"/>
    <w:rsid w:val="006C3A21"/>
    <w:rsid w:val="007E6B83"/>
    <w:rsid w:val="00801D32"/>
    <w:rsid w:val="0085480F"/>
    <w:rsid w:val="00942B3C"/>
    <w:rsid w:val="00A47EF9"/>
    <w:rsid w:val="00AA3457"/>
    <w:rsid w:val="00AB137B"/>
    <w:rsid w:val="00B025AB"/>
    <w:rsid w:val="00B112A3"/>
    <w:rsid w:val="00B8231B"/>
    <w:rsid w:val="00C174A4"/>
    <w:rsid w:val="00CF7448"/>
    <w:rsid w:val="00D30320"/>
    <w:rsid w:val="00D80EE1"/>
    <w:rsid w:val="00DB6372"/>
    <w:rsid w:val="00DE0D2A"/>
    <w:rsid w:val="00E02F4A"/>
    <w:rsid w:val="00EC7C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B997EF-F045-47B5-BF70-58420ED5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1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nliisectionwithsubsection1">
    <w:name w:val="canlii_section_with_subsection1"/>
    <w:basedOn w:val="DefaultParagraphFont"/>
    <w:rsid w:val="00435721"/>
    <w:rPr>
      <w:strike w:val="0"/>
      <w:dstrike w:val="0"/>
      <w:color w:val="027ABB"/>
      <w:u w:val="none"/>
      <w:effect w:val="none"/>
      <w:shd w:val="clear" w:color="auto" w:fill="F3F3F3"/>
    </w:rPr>
  </w:style>
  <w:style w:type="character" w:customStyle="1" w:styleId="canliisubsection1">
    <w:name w:val="canlii_subsection1"/>
    <w:basedOn w:val="DefaultParagraphFont"/>
    <w:rsid w:val="00435721"/>
    <w:rPr>
      <w:strike w:val="0"/>
      <w:dstrike w:val="0"/>
      <w:color w:val="027ABB"/>
      <w:u w:val="none"/>
      <w:effect w:val="none"/>
      <w:shd w:val="clear" w:color="auto" w:fill="F3F3F3"/>
    </w:rPr>
  </w:style>
  <w:style w:type="paragraph" w:customStyle="1" w:styleId="section1">
    <w:name w:val="section1"/>
    <w:basedOn w:val="Normal"/>
    <w:rsid w:val="00435721"/>
    <w:pPr>
      <w:spacing w:after="0" w:line="220" w:lineRule="atLeast"/>
      <w:ind w:left="1138"/>
    </w:pPr>
    <w:rPr>
      <w:rFonts w:ascii="Times New Roman" w:eastAsia="Times New Roman" w:hAnsi="Times New Roman" w:cs="Times New Roman"/>
      <w:sz w:val="20"/>
      <w:szCs w:val="20"/>
      <w:lang w:eastAsia="fr-CA"/>
    </w:rPr>
  </w:style>
  <w:style w:type="paragraph" w:customStyle="1" w:styleId="clause1">
    <w:name w:val="clause1"/>
    <w:basedOn w:val="Normal"/>
    <w:rsid w:val="00435721"/>
    <w:pPr>
      <w:spacing w:before="200" w:after="0" w:line="220" w:lineRule="atLeast"/>
      <w:ind w:left="1872" w:hanging="1872"/>
    </w:pPr>
    <w:rPr>
      <w:rFonts w:ascii="Times New Roman" w:eastAsia="Times New Roman" w:hAnsi="Times New Roman" w:cs="Times New Roman"/>
      <w:sz w:val="20"/>
      <w:szCs w:val="20"/>
      <w:lang w:eastAsia="fr-CA"/>
    </w:rPr>
  </w:style>
  <w:style w:type="character" w:customStyle="1" w:styleId="sectionnumber2">
    <w:name w:val="sectionnumber2"/>
    <w:basedOn w:val="DefaultParagraphFont"/>
    <w:rsid w:val="00435721"/>
    <w:rPr>
      <w:rFonts w:ascii="Arial" w:hAnsi="Arial" w:cs="Arial" w:hint="default"/>
      <w:b/>
      <w:bCs/>
    </w:rPr>
  </w:style>
  <w:style w:type="paragraph" w:customStyle="1" w:styleId="subsection1">
    <w:name w:val="subsection1"/>
    <w:basedOn w:val="Normal"/>
    <w:rsid w:val="00435721"/>
    <w:pPr>
      <w:spacing w:before="200" w:after="0" w:line="220" w:lineRule="atLeast"/>
      <w:ind w:left="1138"/>
    </w:pPr>
    <w:rPr>
      <w:rFonts w:ascii="Times New Roman" w:eastAsia="Times New Roman" w:hAnsi="Times New Roman" w:cs="Times New Roman"/>
      <w:sz w:val="20"/>
      <w:szCs w:val="20"/>
      <w:lang w:eastAsia="fr-CA"/>
    </w:rPr>
  </w:style>
  <w:style w:type="paragraph" w:customStyle="1" w:styleId="sidenotexsb1">
    <w:name w:val="sidenotexsb1"/>
    <w:basedOn w:val="Normal"/>
    <w:rsid w:val="00435721"/>
    <w:pPr>
      <w:keepNext/>
      <w:spacing w:before="400" w:after="40" w:line="220" w:lineRule="atLeast"/>
      <w:ind w:left="907"/>
    </w:pPr>
    <w:rPr>
      <w:rFonts w:ascii="Arial" w:eastAsia="Times New Roman" w:hAnsi="Arial" w:cs="Arial"/>
      <w:b/>
      <w:bCs/>
      <w:sz w:val="18"/>
      <w:szCs w:val="18"/>
      <w:lang w:eastAsia="fr-CA"/>
    </w:rPr>
  </w:style>
  <w:style w:type="paragraph" w:styleId="Header">
    <w:name w:val="header"/>
    <w:basedOn w:val="Normal"/>
    <w:link w:val="HeaderChar"/>
    <w:uiPriority w:val="99"/>
    <w:unhideWhenUsed/>
    <w:rsid w:val="00B112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12A3"/>
  </w:style>
  <w:style w:type="paragraph" w:styleId="Footer">
    <w:name w:val="footer"/>
    <w:basedOn w:val="Normal"/>
    <w:link w:val="FooterChar"/>
    <w:uiPriority w:val="99"/>
    <w:unhideWhenUsed/>
    <w:rsid w:val="00B112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1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200652">
      <w:bodyDiv w:val="1"/>
      <w:marLeft w:val="0"/>
      <w:marRight w:val="0"/>
      <w:marTop w:val="0"/>
      <w:marBottom w:val="0"/>
      <w:divBdr>
        <w:top w:val="none" w:sz="0" w:space="0" w:color="auto"/>
        <w:left w:val="none" w:sz="0" w:space="0" w:color="auto"/>
        <w:bottom w:val="none" w:sz="0" w:space="0" w:color="auto"/>
        <w:right w:val="none" w:sz="0" w:space="0" w:color="auto"/>
      </w:divBdr>
      <w:divsChild>
        <w:div w:id="690841675">
          <w:marLeft w:val="0"/>
          <w:marRight w:val="0"/>
          <w:marTop w:val="0"/>
          <w:marBottom w:val="0"/>
          <w:divBdr>
            <w:top w:val="none" w:sz="0" w:space="0" w:color="auto"/>
            <w:left w:val="none" w:sz="0" w:space="0" w:color="auto"/>
            <w:bottom w:val="none" w:sz="0" w:space="0" w:color="auto"/>
            <w:right w:val="none" w:sz="0" w:space="0" w:color="auto"/>
          </w:divBdr>
          <w:divsChild>
            <w:div w:id="652762640">
              <w:marLeft w:val="0"/>
              <w:marRight w:val="0"/>
              <w:marTop w:val="0"/>
              <w:marBottom w:val="0"/>
              <w:divBdr>
                <w:top w:val="none" w:sz="0" w:space="0" w:color="auto"/>
                <w:left w:val="none" w:sz="0" w:space="0" w:color="auto"/>
                <w:bottom w:val="none" w:sz="0" w:space="0" w:color="auto"/>
                <w:right w:val="none" w:sz="0" w:space="0" w:color="auto"/>
              </w:divBdr>
              <w:divsChild>
                <w:div w:id="1318802095">
                  <w:marLeft w:val="0"/>
                  <w:marRight w:val="0"/>
                  <w:marTop w:val="0"/>
                  <w:marBottom w:val="0"/>
                  <w:divBdr>
                    <w:top w:val="none" w:sz="0" w:space="0" w:color="auto"/>
                    <w:left w:val="none" w:sz="0" w:space="0" w:color="auto"/>
                    <w:bottom w:val="none" w:sz="0" w:space="0" w:color="auto"/>
                    <w:right w:val="none" w:sz="0" w:space="0" w:color="auto"/>
                  </w:divBdr>
                  <w:divsChild>
                    <w:div w:id="8723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5288">
      <w:bodyDiv w:val="1"/>
      <w:marLeft w:val="0"/>
      <w:marRight w:val="0"/>
      <w:marTop w:val="0"/>
      <w:marBottom w:val="0"/>
      <w:divBdr>
        <w:top w:val="none" w:sz="0" w:space="0" w:color="auto"/>
        <w:left w:val="none" w:sz="0" w:space="0" w:color="auto"/>
        <w:bottom w:val="none" w:sz="0" w:space="0" w:color="auto"/>
        <w:right w:val="none" w:sz="0" w:space="0" w:color="auto"/>
      </w:divBdr>
      <w:divsChild>
        <w:div w:id="773748148">
          <w:marLeft w:val="0"/>
          <w:marRight w:val="0"/>
          <w:marTop w:val="0"/>
          <w:marBottom w:val="0"/>
          <w:divBdr>
            <w:top w:val="none" w:sz="0" w:space="0" w:color="auto"/>
            <w:left w:val="none" w:sz="0" w:space="0" w:color="auto"/>
            <w:bottom w:val="none" w:sz="0" w:space="0" w:color="auto"/>
            <w:right w:val="none" w:sz="0" w:space="0" w:color="auto"/>
          </w:divBdr>
          <w:divsChild>
            <w:div w:id="1788430736">
              <w:marLeft w:val="0"/>
              <w:marRight w:val="0"/>
              <w:marTop w:val="0"/>
              <w:marBottom w:val="0"/>
              <w:divBdr>
                <w:top w:val="none" w:sz="0" w:space="0" w:color="auto"/>
                <w:left w:val="none" w:sz="0" w:space="0" w:color="auto"/>
                <w:bottom w:val="none" w:sz="0" w:space="0" w:color="auto"/>
                <w:right w:val="none" w:sz="0" w:space="0" w:color="auto"/>
              </w:divBdr>
              <w:divsChild>
                <w:div w:id="1358310496">
                  <w:marLeft w:val="0"/>
                  <w:marRight w:val="0"/>
                  <w:marTop w:val="0"/>
                  <w:marBottom w:val="0"/>
                  <w:divBdr>
                    <w:top w:val="none" w:sz="0" w:space="0" w:color="auto"/>
                    <w:left w:val="none" w:sz="0" w:space="0" w:color="auto"/>
                    <w:bottom w:val="none" w:sz="0" w:space="0" w:color="auto"/>
                    <w:right w:val="none" w:sz="0" w:space="0" w:color="auto"/>
                  </w:divBdr>
                  <w:divsChild>
                    <w:div w:id="4899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4873">
      <w:bodyDiv w:val="1"/>
      <w:marLeft w:val="0"/>
      <w:marRight w:val="0"/>
      <w:marTop w:val="0"/>
      <w:marBottom w:val="0"/>
      <w:divBdr>
        <w:top w:val="none" w:sz="0" w:space="0" w:color="auto"/>
        <w:left w:val="none" w:sz="0" w:space="0" w:color="auto"/>
        <w:bottom w:val="none" w:sz="0" w:space="0" w:color="auto"/>
        <w:right w:val="none" w:sz="0" w:space="0" w:color="auto"/>
      </w:divBdr>
      <w:divsChild>
        <w:div w:id="1708527028">
          <w:marLeft w:val="0"/>
          <w:marRight w:val="0"/>
          <w:marTop w:val="0"/>
          <w:marBottom w:val="0"/>
          <w:divBdr>
            <w:top w:val="none" w:sz="0" w:space="0" w:color="auto"/>
            <w:left w:val="none" w:sz="0" w:space="0" w:color="auto"/>
            <w:bottom w:val="none" w:sz="0" w:space="0" w:color="auto"/>
            <w:right w:val="none" w:sz="0" w:space="0" w:color="auto"/>
          </w:divBdr>
          <w:divsChild>
            <w:div w:id="68579105">
              <w:marLeft w:val="0"/>
              <w:marRight w:val="0"/>
              <w:marTop w:val="0"/>
              <w:marBottom w:val="0"/>
              <w:divBdr>
                <w:top w:val="none" w:sz="0" w:space="0" w:color="auto"/>
                <w:left w:val="none" w:sz="0" w:space="0" w:color="auto"/>
                <w:bottom w:val="none" w:sz="0" w:space="0" w:color="auto"/>
                <w:right w:val="none" w:sz="0" w:space="0" w:color="auto"/>
              </w:divBdr>
              <w:divsChild>
                <w:div w:id="2120876522">
                  <w:marLeft w:val="0"/>
                  <w:marRight w:val="0"/>
                  <w:marTop w:val="0"/>
                  <w:marBottom w:val="0"/>
                  <w:divBdr>
                    <w:top w:val="none" w:sz="0" w:space="0" w:color="auto"/>
                    <w:left w:val="none" w:sz="0" w:space="0" w:color="auto"/>
                    <w:bottom w:val="none" w:sz="0" w:space="0" w:color="auto"/>
                    <w:right w:val="none" w:sz="0" w:space="0" w:color="auto"/>
                  </w:divBdr>
                  <w:divsChild>
                    <w:div w:id="8214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66593">
      <w:bodyDiv w:val="1"/>
      <w:marLeft w:val="0"/>
      <w:marRight w:val="0"/>
      <w:marTop w:val="0"/>
      <w:marBottom w:val="0"/>
      <w:divBdr>
        <w:top w:val="none" w:sz="0" w:space="0" w:color="auto"/>
        <w:left w:val="none" w:sz="0" w:space="0" w:color="auto"/>
        <w:bottom w:val="none" w:sz="0" w:space="0" w:color="auto"/>
        <w:right w:val="none" w:sz="0" w:space="0" w:color="auto"/>
      </w:divBdr>
      <w:divsChild>
        <w:div w:id="1298684203">
          <w:marLeft w:val="0"/>
          <w:marRight w:val="0"/>
          <w:marTop w:val="0"/>
          <w:marBottom w:val="0"/>
          <w:divBdr>
            <w:top w:val="none" w:sz="0" w:space="0" w:color="auto"/>
            <w:left w:val="none" w:sz="0" w:space="0" w:color="auto"/>
            <w:bottom w:val="none" w:sz="0" w:space="0" w:color="auto"/>
            <w:right w:val="none" w:sz="0" w:space="0" w:color="auto"/>
          </w:divBdr>
          <w:divsChild>
            <w:div w:id="1627856893">
              <w:marLeft w:val="0"/>
              <w:marRight w:val="0"/>
              <w:marTop w:val="0"/>
              <w:marBottom w:val="0"/>
              <w:divBdr>
                <w:top w:val="none" w:sz="0" w:space="0" w:color="auto"/>
                <w:left w:val="none" w:sz="0" w:space="0" w:color="auto"/>
                <w:bottom w:val="none" w:sz="0" w:space="0" w:color="auto"/>
                <w:right w:val="none" w:sz="0" w:space="0" w:color="auto"/>
              </w:divBdr>
              <w:divsChild>
                <w:div w:id="1178739717">
                  <w:marLeft w:val="0"/>
                  <w:marRight w:val="0"/>
                  <w:marTop w:val="0"/>
                  <w:marBottom w:val="0"/>
                  <w:divBdr>
                    <w:top w:val="none" w:sz="0" w:space="0" w:color="auto"/>
                    <w:left w:val="none" w:sz="0" w:space="0" w:color="auto"/>
                    <w:bottom w:val="none" w:sz="0" w:space="0" w:color="auto"/>
                    <w:right w:val="none" w:sz="0" w:space="0" w:color="auto"/>
                  </w:divBdr>
                  <w:divsChild>
                    <w:div w:id="195933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lii.org/en/ab/laws/regu/alta-reg-158-2013/latest/alta-reg-158-2013.html" TargetMode="External"/><Relationship Id="rId3" Type="http://schemas.openxmlformats.org/officeDocument/2006/relationships/webSettings" Target="webSettings.xml"/><Relationship Id="rId7" Type="http://schemas.openxmlformats.org/officeDocument/2006/relationships/hyperlink" Target="http://www.canlii.org/en/ab/laws/stat/rsa-2000-c-16-supp/latest/rsa-2000-c-16-supp.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lii.org/en/ab/laws/stat/rsa-2000-c-16-supp/latest/rsa-2000-c-16-supp.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906</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9</cp:revision>
  <dcterms:created xsi:type="dcterms:W3CDTF">2016-02-15T19:10:00Z</dcterms:created>
  <dcterms:modified xsi:type="dcterms:W3CDTF">2016-05-21T20:03:00Z</dcterms:modified>
</cp:coreProperties>
</file>