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350"/>
      </w:tblGrid>
      <w:tr w:rsidR="00CF3A25" w:rsidRPr="009D0A2C" w:rsidTr="00CF3A25">
        <w:tc>
          <w:tcPr>
            <w:tcW w:w="9350" w:type="dxa"/>
          </w:tcPr>
          <w:p w:rsidR="00CF3A25" w:rsidRPr="00CF3A25" w:rsidRDefault="00CF3A25" w:rsidP="00D87DBD">
            <w:pPr>
              <w:spacing w:before="120"/>
              <w:rPr>
                <w:b/>
                <w:sz w:val="28"/>
                <w:lang w:val="fr-CA"/>
              </w:rPr>
            </w:pPr>
            <w:bookmarkStart w:id="0" w:name="_GoBack"/>
            <w:bookmarkEnd w:id="0"/>
            <w:r w:rsidRPr="00CF3A25">
              <w:rPr>
                <w:b/>
                <w:noProof/>
                <w:sz w:val="28"/>
              </w:rPr>
              <w:drawing>
                <wp:anchor distT="0" distB="0" distL="114300" distR="114300" simplePos="0" relativeHeight="251658240" behindDoc="1" locked="0" layoutInCell="1" allowOverlap="1">
                  <wp:simplePos x="0" y="0"/>
                  <wp:positionH relativeFrom="column">
                    <wp:posOffset>3567430</wp:posOffset>
                  </wp:positionH>
                  <wp:positionV relativeFrom="paragraph">
                    <wp:posOffset>69850</wp:posOffset>
                  </wp:positionV>
                  <wp:extent cx="2235835" cy="474980"/>
                  <wp:effectExtent l="0" t="0" r="0" b="1270"/>
                  <wp:wrapTight wrapText="bothSides">
                    <wp:wrapPolygon edited="0">
                      <wp:start x="0" y="0"/>
                      <wp:lineTo x="0" y="20791"/>
                      <wp:lineTo x="21348" y="20791"/>
                      <wp:lineTo x="2134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EFO_logo-long_cou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5835" cy="474980"/>
                          </a:xfrm>
                          <a:prstGeom prst="rect">
                            <a:avLst/>
                          </a:prstGeom>
                        </pic:spPr>
                      </pic:pic>
                    </a:graphicData>
                  </a:graphic>
                </wp:anchor>
              </w:drawing>
            </w:r>
            <w:r w:rsidRPr="00CF3A25">
              <w:rPr>
                <w:b/>
                <w:sz w:val="28"/>
                <w:lang w:val="fr-CA"/>
              </w:rPr>
              <w:t>CONGRÈS DE L’AJEFO</w:t>
            </w:r>
          </w:p>
          <w:p w:rsidR="00CF3A25" w:rsidRPr="00CF3A25" w:rsidRDefault="00CF3A25" w:rsidP="00980D5C">
            <w:pPr>
              <w:spacing w:after="240"/>
              <w:rPr>
                <w:lang w:val="fr-CA"/>
              </w:rPr>
            </w:pPr>
            <w:r w:rsidRPr="00CF3A25">
              <w:rPr>
                <w:b/>
                <w:sz w:val="28"/>
                <w:lang w:val="fr-CA"/>
              </w:rPr>
              <w:t>OTTAWA, 2</w:t>
            </w:r>
            <w:r w:rsidR="00980D5C">
              <w:rPr>
                <w:b/>
                <w:sz w:val="28"/>
                <w:lang w:val="fr-CA"/>
              </w:rPr>
              <w:t>4</w:t>
            </w:r>
            <w:r w:rsidRPr="00CF3A25">
              <w:rPr>
                <w:b/>
                <w:sz w:val="28"/>
                <w:lang w:val="fr-CA"/>
              </w:rPr>
              <w:t xml:space="preserve"> JUIN 2017</w:t>
            </w:r>
          </w:p>
        </w:tc>
      </w:tr>
      <w:tr w:rsidR="00CF3A25" w:rsidRPr="009D0A2C" w:rsidTr="00CF3A25">
        <w:tc>
          <w:tcPr>
            <w:tcW w:w="9350" w:type="dxa"/>
            <w:shd w:val="clear" w:color="auto" w:fill="000000" w:themeFill="text1"/>
          </w:tcPr>
          <w:p w:rsidR="00CF3A25" w:rsidRPr="00637BCC" w:rsidRDefault="00637BCC" w:rsidP="0045495B">
            <w:pPr>
              <w:spacing w:before="120"/>
              <w:ind w:left="709" w:hanging="709"/>
              <w:rPr>
                <w:b/>
                <w:noProof/>
                <w:color w:val="FFFFFF" w:themeColor="background1"/>
                <w:sz w:val="28"/>
                <w:lang w:val="fr-CA"/>
              </w:rPr>
            </w:pPr>
            <w:r w:rsidRPr="00637BCC">
              <w:rPr>
                <w:b/>
                <w:noProof/>
                <w:color w:val="FFFFFF" w:themeColor="background1"/>
                <w:lang w:val="fr-CA"/>
              </w:rPr>
              <w:t>9</w:t>
            </w:r>
            <w:r w:rsidR="00CF3A25" w:rsidRPr="00637BCC">
              <w:rPr>
                <w:b/>
                <w:noProof/>
                <w:color w:val="FFFFFF" w:themeColor="background1"/>
                <w:lang w:val="fr-CA"/>
              </w:rPr>
              <w:t>h</w:t>
            </w:r>
            <w:r w:rsidR="00CF3A25" w:rsidRPr="00637BCC">
              <w:rPr>
                <w:b/>
                <w:noProof/>
                <w:color w:val="FFFFFF" w:themeColor="background1"/>
                <w:lang w:val="fr-CA"/>
              </w:rPr>
              <w:tab/>
            </w:r>
            <w:r w:rsidR="00CF3A25" w:rsidRPr="00637BCC">
              <w:rPr>
                <w:b/>
                <w:noProof/>
                <w:color w:val="FFFFFF" w:themeColor="background1"/>
                <w:lang w:val="fr-CA"/>
              </w:rPr>
              <w:tab/>
              <w:t xml:space="preserve">PANEL </w:t>
            </w:r>
            <w:r w:rsidRPr="00637BCC">
              <w:rPr>
                <w:b/>
                <w:noProof/>
                <w:color w:val="FFFFFF" w:themeColor="background1"/>
                <w:lang w:val="fr-CA"/>
              </w:rPr>
              <w:t>9</w:t>
            </w:r>
            <w:r w:rsidR="0045495B">
              <w:rPr>
                <w:b/>
                <w:noProof/>
                <w:color w:val="FFFFFF" w:themeColor="background1"/>
                <w:lang w:val="fr-CA"/>
              </w:rPr>
              <w:t>(11)</w:t>
            </w:r>
            <w:r w:rsidR="00CF3A25" w:rsidRPr="00637BCC">
              <w:rPr>
                <w:b/>
                <w:noProof/>
                <w:color w:val="FFFFFF" w:themeColor="background1"/>
                <w:lang w:val="fr-CA"/>
              </w:rPr>
              <w:t xml:space="preserve"> – </w:t>
            </w:r>
            <w:r w:rsidRPr="00637BCC">
              <w:rPr>
                <w:b/>
                <w:noProof/>
                <w:color w:val="FFFFFF" w:themeColor="background1"/>
                <w:lang w:val="fr-CA"/>
              </w:rPr>
              <w:t>PANEL ÉCLAIR (PARTICIPATION DU JUGE À UN APPEL DE SA DÉCISION)</w:t>
            </w:r>
          </w:p>
        </w:tc>
      </w:tr>
      <w:tr w:rsidR="00CF3A25" w:rsidRPr="00C97EC6" w:rsidTr="00CF3A25">
        <w:tc>
          <w:tcPr>
            <w:tcW w:w="9350" w:type="dxa"/>
            <w:shd w:val="clear" w:color="auto" w:fill="FFFFFF" w:themeFill="background1"/>
          </w:tcPr>
          <w:p w:rsidR="00CF3A25" w:rsidRDefault="00CF3A25">
            <w:pPr>
              <w:rPr>
                <w:noProof/>
                <w:color w:val="FFFFFF" w:themeColor="background1"/>
                <w:lang w:val="fr-CA"/>
              </w:rPr>
            </w:pPr>
          </w:p>
          <w:p w:rsidR="00CF3A25" w:rsidRPr="00A05C13" w:rsidRDefault="0073191C">
            <w:pPr>
              <w:rPr>
                <w:b/>
                <w:noProof/>
                <w:color w:val="000000" w:themeColor="text1"/>
                <w:lang w:val="fr-CA"/>
              </w:rPr>
            </w:pPr>
            <w:r>
              <w:rPr>
                <w:b/>
                <w:noProof/>
                <w:color w:val="000000" w:themeColor="text1"/>
                <w:lang w:val="fr-CA"/>
              </w:rPr>
              <w:t>Question </w:t>
            </w:r>
            <w:r w:rsidR="00CF3A25" w:rsidRPr="00A05C13">
              <w:rPr>
                <w:b/>
                <w:noProof/>
                <w:color w:val="000000" w:themeColor="text1"/>
                <w:lang w:val="fr-CA"/>
              </w:rPr>
              <w:t xml:space="preserve">: </w:t>
            </w:r>
            <w:r w:rsidR="00CF3A25" w:rsidRPr="00A05C13">
              <w:rPr>
                <w:b/>
                <w:noProof/>
                <w:color w:val="000000" w:themeColor="text1"/>
                <w:lang w:val="fr-CA"/>
              </w:rPr>
              <w:tab/>
            </w:r>
          </w:p>
          <w:p w:rsidR="004724A4" w:rsidRPr="0073191C" w:rsidRDefault="004724A4">
            <w:pPr>
              <w:rPr>
                <w:noProof/>
                <w:sz w:val="20"/>
                <w:lang w:val="fr-FR"/>
              </w:rPr>
            </w:pPr>
          </w:p>
          <w:p w:rsidR="000908CC" w:rsidRPr="00C449C2" w:rsidRDefault="0073191C" w:rsidP="00C97EC6">
            <w:pPr>
              <w:spacing w:after="120"/>
              <w:rPr>
                <w:b/>
                <w:noProof/>
                <w:color w:val="000000" w:themeColor="text1"/>
                <w:lang w:val="fr-CA"/>
              </w:rPr>
            </w:pPr>
            <w:r w:rsidRPr="00C97EC6">
              <w:rPr>
                <w:noProof/>
                <w:lang w:val="fr-FR"/>
              </w:rPr>
              <w:t xml:space="preserve">Un juge peut-il être partie à un </w:t>
            </w:r>
            <w:r w:rsidR="00C97EC6">
              <w:rPr>
                <w:noProof/>
                <w:lang w:val="fr-FR"/>
              </w:rPr>
              <w:t>contrôle judici</w:t>
            </w:r>
            <w:r w:rsidRPr="00C97EC6">
              <w:rPr>
                <w:noProof/>
                <w:lang w:val="fr-FR"/>
              </w:rPr>
              <w:t xml:space="preserve">aire </w:t>
            </w:r>
            <w:r w:rsidR="00C97EC6">
              <w:rPr>
                <w:noProof/>
                <w:lang w:val="fr-FR"/>
              </w:rPr>
              <w:t xml:space="preserve">de sa décision </w:t>
            </w:r>
            <w:r w:rsidRPr="00C97EC6">
              <w:rPr>
                <w:noProof/>
                <w:lang w:val="fr-FR"/>
              </w:rPr>
              <w:t xml:space="preserve">par voie de </w:t>
            </w:r>
            <w:r w:rsidRPr="00C97EC6">
              <w:rPr>
                <w:i/>
                <w:noProof/>
                <w:lang w:val="fr-FR"/>
              </w:rPr>
              <w:t xml:space="preserve">mandamus </w:t>
            </w:r>
            <w:r w:rsidRPr="00C97EC6">
              <w:rPr>
                <w:noProof/>
                <w:lang w:val="fr-FR"/>
              </w:rPr>
              <w:t xml:space="preserve">ou </w:t>
            </w:r>
            <w:r w:rsidRPr="00C97EC6">
              <w:rPr>
                <w:i/>
                <w:noProof/>
                <w:lang w:val="fr-FR"/>
              </w:rPr>
              <w:t>certiorari</w:t>
            </w:r>
            <w:r w:rsidRPr="00C97EC6">
              <w:rPr>
                <w:noProof/>
                <w:lang w:val="fr-FR"/>
              </w:rPr>
              <w:t xml:space="preserve"> et jouer un rôle à l’audition </w:t>
            </w:r>
            <w:r w:rsidR="00C97EC6">
              <w:rPr>
                <w:noProof/>
                <w:lang w:val="fr-FR"/>
              </w:rPr>
              <w:t xml:space="preserve">devant la Cour supérieure </w:t>
            </w:r>
            <w:r w:rsidRPr="00C97EC6">
              <w:rPr>
                <w:noProof/>
                <w:lang w:val="fr-FR"/>
              </w:rPr>
              <w:t>?</w:t>
            </w:r>
            <w:r w:rsidR="00C449C2" w:rsidRPr="00C97EC6">
              <w:rPr>
                <w:noProof/>
                <w:lang w:val="fr-FR"/>
              </w:rPr>
              <w:t xml:space="preserve"> </w:t>
            </w:r>
            <w:r w:rsidR="00C449C2" w:rsidRPr="00C97EC6">
              <w:rPr>
                <w:i/>
                <w:noProof/>
                <w:lang w:val="fr-FR"/>
              </w:rPr>
              <w:t>R c Penunsi</w:t>
            </w:r>
            <w:r w:rsidR="00C449C2" w:rsidRPr="00C97EC6">
              <w:rPr>
                <w:noProof/>
                <w:lang w:val="fr-FR"/>
              </w:rPr>
              <w:t>, 2016 NLCA 50.</w:t>
            </w:r>
          </w:p>
        </w:tc>
      </w:tr>
      <w:tr w:rsidR="00CF3A25" w:rsidRPr="00C97EC6" w:rsidTr="00CF3A25">
        <w:tc>
          <w:tcPr>
            <w:tcW w:w="9350" w:type="dxa"/>
            <w:shd w:val="clear" w:color="auto" w:fill="FFFFFF" w:themeFill="background1"/>
          </w:tcPr>
          <w:p w:rsidR="00CF3A25" w:rsidRDefault="00CF3A25" w:rsidP="00EE226C">
            <w:pPr>
              <w:spacing w:before="120"/>
              <w:rPr>
                <w:b/>
                <w:noProof/>
                <w:lang w:val="fr-CA"/>
              </w:rPr>
            </w:pPr>
            <w:r>
              <w:rPr>
                <w:b/>
                <w:noProof/>
                <w:lang w:val="fr-CA"/>
              </w:rPr>
              <w:t>Con</w:t>
            </w:r>
            <w:r w:rsidR="0073191C">
              <w:rPr>
                <w:b/>
                <w:noProof/>
                <w:lang w:val="fr-CA"/>
              </w:rPr>
              <w:t>texte</w:t>
            </w:r>
            <w:r>
              <w:rPr>
                <w:b/>
                <w:noProof/>
                <w:lang w:val="fr-CA"/>
              </w:rPr>
              <w:t> :</w:t>
            </w:r>
          </w:p>
          <w:p w:rsidR="00CF3A25" w:rsidRDefault="00CF3A25">
            <w:pPr>
              <w:rPr>
                <w:b/>
                <w:noProof/>
                <w:lang w:val="fr-CA"/>
              </w:rPr>
            </w:pPr>
          </w:p>
          <w:p w:rsidR="00D87DBD" w:rsidRPr="00C97EC6" w:rsidRDefault="0073191C" w:rsidP="00D87DBD">
            <w:pPr>
              <w:rPr>
                <w:noProof/>
                <w:lang w:val="fr-FR"/>
              </w:rPr>
            </w:pPr>
            <w:r w:rsidRPr="00C97EC6">
              <w:rPr>
                <w:noProof/>
                <w:lang w:val="fr-FR"/>
              </w:rPr>
              <w:t xml:space="preserve">La Couronne a déposé une dénonciation en vertu de l’art. 810.2 du </w:t>
            </w:r>
            <w:r w:rsidRPr="00C97EC6">
              <w:rPr>
                <w:i/>
                <w:noProof/>
                <w:lang w:val="fr-FR"/>
              </w:rPr>
              <w:t>Code criminel</w:t>
            </w:r>
            <w:r w:rsidRPr="00C97EC6">
              <w:rPr>
                <w:noProof/>
                <w:lang w:val="fr-FR"/>
              </w:rPr>
              <w:t xml:space="preserve"> demandant que le défendeur contracte un engagement de ne pas troubler l’ordre public et d’avoir une bonne conduite en raison de craintes qu’il se livrerait à des sévices graves envers certaines personnes.</w:t>
            </w:r>
            <w:r w:rsidR="00AD6F82" w:rsidRPr="00C97EC6">
              <w:rPr>
                <w:noProof/>
                <w:lang w:val="fr-FR"/>
              </w:rPr>
              <w:t xml:space="preserve"> Un mandat d’arrestation a donc été décerné contre l’accusé</w:t>
            </w:r>
            <w:r w:rsidR="00957346" w:rsidRPr="00C97EC6">
              <w:rPr>
                <w:noProof/>
                <w:lang w:val="fr-FR"/>
              </w:rPr>
              <w:t xml:space="preserve">. La Couronne a voulu imposer des conditions à la mise en liberté de l’accusé en attendant l’audience en vertu de l’art. 810.2 et </w:t>
            </w:r>
            <w:r w:rsidR="00AD6CC1" w:rsidRPr="00C97EC6">
              <w:rPr>
                <w:noProof/>
                <w:lang w:val="fr-FR"/>
              </w:rPr>
              <w:t>a d</w:t>
            </w:r>
            <w:r w:rsidR="00957346" w:rsidRPr="00C97EC6">
              <w:rPr>
                <w:noProof/>
                <w:lang w:val="fr-FR"/>
              </w:rPr>
              <w:t>emandé une audience sur cautionnement. Le juge de la Cour provinciale a décidé que l’art. 515 sur la mise en liberté par voie judiciaire ne n’appliquait pas aux procédures découlant de l’art. 810.2.</w:t>
            </w:r>
          </w:p>
          <w:p w:rsidR="00D87DBD" w:rsidRPr="00C97EC6" w:rsidRDefault="00D87DBD" w:rsidP="00D87DBD">
            <w:pPr>
              <w:rPr>
                <w:noProof/>
                <w:lang w:val="fr-FR"/>
              </w:rPr>
            </w:pPr>
          </w:p>
          <w:p w:rsidR="00D87DBD" w:rsidRPr="00C97EC6" w:rsidRDefault="00957346" w:rsidP="00D87DBD">
            <w:pPr>
              <w:rPr>
                <w:noProof/>
                <w:lang w:val="fr-FR"/>
              </w:rPr>
            </w:pPr>
            <w:r w:rsidRPr="00C97EC6">
              <w:rPr>
                <w:noProof/>
                <w:lang w:val="fr-FR"/>
              </w:rPr>
              <w:t xml:space="preserve">La Couronne a donc présenté une requête en </w:t>
            </w:r>
            <w:r w:rsidRPr="00C97EC6">
              <w:rPr>
                <w:i/>
                <w:noProof/>
                <w:lang w:val="fr-FR"/>
              </w:rPr>
              <w:t>certiorari</w:t>
            </w:r>
            <w:r w:rsidRPr="00C97EC6">
              <w:rPr>
                <w:noProof/>
                <w:lang w:val="fr-FR"/>
              </w:rPr>
              <w:t xml:space="preserve"> devant la cour supérieure pour casser cette décision et en </w:t>
            </w:r>
            <w:r w:rsidRPr="00C97EC6">
              <w:rPr>
                <w:i/>
                <w:noProof/>
                <w:lang w:val="fr-FR"/>
              </w:rPr>
              <w:t xml:space="preserve">mandamus </w:t>
            </w:r>
            <w:r w:rsidRPr="00C97EC6">
              <w:rPr>
                <w:noProof/>
                <w:lang w:val="fr-FR"/>
              </w:rPr>
              <w:t>pour contraindre la tenue d’une audience sur cautionnement</w:t>
            </w:r>
            <w:r w:rsidR="00D87DBD" w:rsidRPr="00C97EC6">
              <w:rPr>
                <w:noProof/>
                <w:lang w:val="fr-FR"/>
              </w:rPr>
              <w:t>. </w:t>
            </w:r>
            <w:r w:rsidRPr="00C97EC6">
              <w:rPr>
                <w:noProof/>
                <w:lang w:val="fr-FR"/>
              </w:rPr>
              <w:t xml:space="preserve">Le poursuivant était nommé dans l’intitulé de la requête comme </w:t>
            </w:r>
            <w:r w:rsidR="00294C9D" w:rsidRPr="00C97EC6">
              <w:rPr>
                <w:noProof/>
                <w:lang w:val="fr-FR"/>
              </w:rPr>
              <w:t xml:space="preserve">appelant, et l’accusé </w:t>
            </w:r>
            <w:r w:rsidR="00294C9D" w:rsidRPr="00C97EC6">
              <w:rPr>
                <w:smallCaps/>
                <w:noProof/>
                <w:lang w:val="fr-FR"/>
              </w:rPr>
              <w:t>ainsi que</w:t>
            </w:r>
            <w:r w:rsidR="00294C9D" w:rsidRPr="00C97EC6">
              <w:rPr>
                <w:noProof/>
                <w:lang w:val="fr-FR"/>
              </w:rPr>
              <w:t xml:space="preserve"> le juge de la Cour provinciale étaient nommés en tant qu’intimés. Le ministère public, le prévenu et le juge de la Cour provinciale ont tous comparu et présenté des observations par avocat devant le juge de révision. Le juge de révision a conclu que l’art. 515 s’appliquait aux procédures intentées sous le régime de l’art. 810.2 et qu’en conséquence, le juge de la Cour provinciale avait outrepassé sa compétence en ne permettant pas au poursuivant de faire valoir des motifs d’imposer des conditions à la mise en liberté provisoire du prévenu. Le juge de révision a également souligné que le juge de Cour provinciale n’aurait pas dû être nommé dans l’intitulé, conformément aux règles de la Cour suprême de TN-L, Division de première instance.</w:t>
            </w:r>
          </w:p>
          <w:p w:rsidR="00D87DBD" w:rsidRPr="00C97EC6" w:rsidRDefault="00D87DBD" w:rsidP="00D87DBD">
            <w:pPr>
              <w:rPr>
                <w:noProof/>
                <w:lang w:val="fr-FR"/>
              </w:rPr>
            </w:pPr>
          </w:p>
          <w:p w:rsidR="00921569" w:rsidRPr="00C97EC6" w:rsidRDefault="00294C9D" w:rsidP="00D87DBD">
            <w:pPr>
              <w:rPr>
                <w:noProof/>
                <w:lang w:val="fr-FR"/>
              </w:rPr>
            </w:pPr>
            <w:r w:rsidRPr="00C97EC6">
              <w:rPr>
                <w:noProof/>
                <w:lang w:val="fr-FR"/>
              </w:rPr>
              <w:t>L’accusé a interjeté appel de la décision du juge de la cour supérieure à la Cour d’appel. Dans l’intitulé de l’avis d’appel, il a nommé les mêmes 3 parties, y compris le juge de la Cour provinciale. La Couronne a présenté une demande incidente à la Cour d’appel, réclamant</w:t>
            </w:r>
            <w:r w:rsidR="00844CDF" w:rsidRPr="00C97EC6">
              <w:rPr>
                <w:noProof/>
                <w:lang w:val="fr-FR"/>
              </w:rPr>
              <w:t xml:space="preserve"> qu’elle précise si le juge de la Cour provinciale devait être nommé comme partie à l’appel et quel rôle il pouvait jouer lors de l’audience de révision judiciaire et de l’appel. Encore une fois, le juge de la Cour provinciale était représenté par avocat lors de l’audition de l’appel, lequel a présenté des observations sur la question en litige.</w:t>
            </w:r>
          </w:p>
          <w:p w:rsidR="00D87DBD" w:rsidRPr="00C97EC6" w:rsidRDefault="00D87DBD" w:rsidP="00CF3A25">
            <w:pPr>
              <w:rPr>
                <w:noProof/>
                <w:lang w:val="fr-FR"/>
              </w:rPr>
            </w:pPr>
          </w:p>
          <w:p w:rsidR="00A05C13" w:rsidRPr="00C97EC6" w:rsidRDefault="00844CDF" w:rsidP="00CF3A25">
            <w:pPr>
              <w:rPr>
                <w:noProof/>
                <w:lang w:val="fr-FR"/>
              </w:rPr>
            </w:pPr>
            <w:r w:rsidRPr="00C97EC6">
              <w:rPr>
                <w:noProof/>
                <w:lang w:val="fr-FR"/>
              </w:rPr>
              <w:t xml:space="preserve">L’accusé ayant consenti à contracter un engagement en vertu de l’art. 810.2, la question découlant de l’application de l’art. 515 n’a pas été débattue devant la Cour d’appel. À la demande de la Couronne et de l’avocat du juge de la Cour provinciale, la Cour d’appel a accepté de se prononcer sur la question du rôle d’un juge de la Cour provinciale dans le cadre d’une audience en révision de l’une de ses décisions. À cet égard, l’avocat de l’accusé n’a fait aucune observation devant la Cour. </w:t>
            </w:r>
          </w:p>
          <w:p w:rsidR="00A05C13" w:rsidRDefault="00A05C13" w:rsidP="00CF3A25">
            <w:pPr>
              <w:rPr>
                <w:noProof/>
                <w:sz w:val="20"/>
                <w:lang w:val="fr-FR"/>
              </w:rPr>
            </w:pPr>
          </w:p>
          <w:p w:rsidR="00C97EC6" w:rsidRDefault="00C97EC6" w:rsidP="00CF3A25">
            <w:pPr>
              <w:rPr>
                <w:noProof/>
                <w:sz w:val="20"/>
                <w:lang w:val="fr-FR"/>
              </w:rPr>
            </w:pPr>
          </w:p>
          <w:p w:rsidR="00A05C13" w:rsidRPr="00A05C13" w:rsidRDefault="00A05C13" w:rsidP="00CF3A25">
            <w:pPr>
              <w:rPr>
                <w:b/>
                <w:noProof/>
                <w:lang w:val="fr-FR"/>
              </w:rPr>
            </w:pPr>
            <w:r w:rsidRPr="00A05C13">
              <w:rPr>
                <w:b/>
                <w:noProof/>
                <w:lang w:val="fr-FR"/>
              </w:rPr>
              <w:lastRenderedPageBreak/>
              <w:t>Dé</w:t>
            </w:r>
            <w:r w:rsidR="00844CDF">
              <w:rPr>
                <w:b/>
                <w:noProof/>
                <w:lang w:val="fr-FR"/>
              </w:rPr>
              <w:t>cision </w:t>
            </w:r>
            <w:r w:rsidRPr="00A05C13">
              <w:rPr>
                <w:b/>
                <w:noProof/>
                <w:lang w:val="fr-FR"/>
              </w:rPr>
              <w:t>:</w:t>
            </w:r>
          </w:p>
          <w:p w:rsidR="00A05C13" w:rsidRPr="00C97EC6" w:rsidRDefault="00A05C13" w:rsidP="00CF3A25">
            <w:pPr>
              <w:rPr>
                <w:noProof/>
                <w:lang w:val="fr-FR"/>
              </w:rPr>
            </w:pPr>
          </w:p>
          <w:p w:rsidR="00A05C13" w:rsidRPr="00C97EC6" w:rsidRDefault="00AE69F2" w:rsidP="00CF3A25">
            <w:pPr>
              <w:rPr>
                <w:noProof/>
                <w:lang w:val="fr-FR"/>
              </w:rPr>
            </w:pPr>
            <w:r w:rsidRPr="00C97EC6">
              <w:rPr>
                <w:noProof/>
                <w:lang w:val="fr-FR"/>
              </w:rPr>
              <w:t>La Cour d’appel a statué que le juge de la Cour provinciale n’aurait pas dû être partie à la demande de révision judiciaire et à l’appel et qu’il n’avait aucun droit à y comparaître ou à présenter des observations par avocat.</w:t>
            </w:r>
          </w:p>
          <w:p w:rsidR="00AE69F2" w:rsidRPr="00C97EC6" w:rsidRDefault="00AE69F2" w:rsidP="00CF3A25">
            <w:pPr>
              <w:rPr>
                <w:noProof/>
                <w:lang w:val="fr-FR"/>
              </w:rPr>
            </w:pPr>
          </w:p>
          <w:p w:rsidR="00AE69F2" w:rsidRPr="00C97EC6" w:rsidRDefault="00AE69F2" w:rsidP="00CF3A25">
            <w:pPr>
              <w:rPr>
                <w:noProof/>
                <w:lang w:val="fr-FR"/>
              </w:rPr>
            </w:pPr>
            <w:r w:rsidRPr="00C97EC6">
              <w:rPr>
                <w:noProof/>
                <w:lang w:val="fr-FR"/>
              </w:rPr>
              <w:t>La décision était précédée d’une intéressante discussion sur l’historique des recours extraordinaires et des brefs de prérogative, dont la trame logique aboutissait à cette décision inéluctable.</w:t>
            </w:r>
          </w:p>
          <w:p w:rsidR="006D3B15" w:rsidRPr="00C97EC6" w:rsidRDefault="006D3B15" w:rsidP="00CF3A25">
            <w:pPr>
              <w:rPr>
                <w:noProof/>
                <w:lang w:val="fr-FR"/>
              </w:rPr>
            </w:pPr>
          </w:p>
          <w:p w:rsidR="006D3B15" w:rsidRPr="00C97EC6" w:rsidRDefault="006D3B15" w:rsidP="00CF3A25">
            <w:pPr>
              <w:rPr>
                <w:noProof/>
                <w:lang w:val="fr-FR"/>
              </w:rPr>
            </w:pPr>
            <w:r w:rsidRPr="00C97EC6">
              <w:rPr>
                <w:noProof/>
                <w:lang w:val="fr-FR"/>
              </w:rPr>
              <w:t xml:space="preserve">Les brefs de prérogative servaient essentiellement à rappeler à leurs devoirs des tribunaux ou des agents publics ayant des fonctions ou des pouvoirs d’adjudication. Un citoyen se plaignait au Roi (représenté par un juge de la Cour du Banc du Roi) d’un excès de juridiction ou d’un </w:t>
            </w:r>
            <w:r w:rsidR="00CA5B05" w:rsidRPr="00C97EC6">
              <w:rPr>
                <w:noProof/>
                <w:lang w:val="fr-FR"/>
              </w:rPr>
              <w:t xml:space="preserve">manquement à un devoir </w:t>
            </w:r>
            <w:r w:rsidR="00AD6CC1" w:rsidRPr="00C97EC6">
              <w:rPr>
                <w:noProof/>
                <w:lang w:val="fr-FR"/>
              </w:rPr>
              <w:t>judiciaire</w:t>
            </w:r>
            <w:r w:rsidRPr="00C97EC6">
              <w:rPr>
                <w:noProof/>
                <w:lang w:val="fr-FR"/>
              </w:rPr>
              <w:t xml:space="preserve">, et le Roi (par la voix ou la plume du juge de la Cour du Banc du Roi) enjoignait </w:t>
            </w:r>
            <w:r w:rsidR="00CA5B05" w:rsidRPr="00C97EC6">
              <w:rPr>
                <w:noProof/>
                <w:lang w:val="fr-FR"/>
              </w:rPr>
              <w:t xml:space="preserve">à ce tribunal ou à cet agent public </w:t>
            </w:r>
            <w:r w:rsidR="00AE253A" w:rsidRPr="00C97EC6">
              <w:rPr>
                <w:noProof/>
                <w:lang w:val="fr-FR"/>
              </w:rPr>
              <w:t xml:space="preserve">soit </w:t>
            </w:r>
            <w:r w:rsidR="00CA5B05" w:rsidRPr="00C97EC6">
              <w:rPr>
                <w:noProof/>
                <w:lang w:val="fr-FR"/>
              </w:rPr>
              <w:t>de ne pas outrepasser ses compétences</w:t>
            </w:r>
            <w:r w:rsidR="00AE253A" w:rsidRPr="00C97EC6">
              <w:rPr>
                <w:noProof/>
                <w:lang w:val="fr-FR"/>
              </w:rPr>
              <w:t>,</w:t>
            </w:r>
            <w:r w:rsidR="00CA5B05" w:rsidRPr="00C97EC6">
              <w:rPr>
                <w:noProof/>
                <w:lang w:val="fr-FR"/>
              </w:rPr>
              <w:t xml:space="preserve"> </w:t>
            </w:r>
            <w:r w:rsidR="00AE253A" w:rsidRPr="00C97EC6">
              <w:rPr>
                <w:noProof/>
                <w:lang w:val="fr-FR"/>
              </w:rPr>
              <w:t xml:space="preserve">soit </w:t>
            </w:r>
            <w:r w:rsidR="00CA5B05" w:rsidRPr="00C97EC6">
              <w:rPr>
                <w:noProof/>
                <w:lang w:val="fr-FR"/>
              </w:rPr>
              <w:t xml:space="preserve">d’exercer </w:t>
            </w:r>
            <w:r w:rsidR="00AE253A" w:rsidRPr="00C97EC6">
              <w:rPr>
                <w:noProof/>
                <w:lang w:val="fr-FR"/>
              </w:rPr>
              <w:t xml:space="preserve">le </w:t>
            </w:r>
            <w:r w:rsidR="00CA5B05" w:rsidRPr="00C97EC6">
              <w:rPr>
                <w:noProof/>
                <w:lang w:val="fr-FR"/>
              </w:rPr>
              <w:t>devoir</w:t>
            </w:r>
            <w:r w:rsidR="00AE253A" w:rsidRPr="00C97EC6">
              <w:rPr>
                <w:noProof/>
                <w:lang w:val="fr-FR"/>
              </w:rPr>
              <w:t xml:space="preserve"> qu’il avait refusé d’exercer</w:t>
            </w:r>
            <w:r w:rsidR="00CA5B05" w:rsidRPr="00C97EC6">
              <w:rPr>
                <w:noProof/>
                <w:lang w:val="fr-FR"/>
              </w:rPr>
              <w:t>.</w:t>
            </w:r>
          </w:p>
          <w:p w:rsidR="00CA5B05" w:rsidRPr="00C97EC6" w:rsidRDefault="00CA5B05" w:rsidP="00CF3A25">
            <w:pPr>
              <w:rPr>
                <w:noProof/>
                <w:lang w:val="fr-FR"/>
              </w:rPr>
            </w:pPr>
          </w:p>
          <w:p w:rsidR="00CA5B05" w:rsidRPr="00C97EC6" w:rsidRDefault="00CA5B05" w:rsidP="00CF3A25">
            <w:pPr>
              <w:rPr>
                <w:noProof/>
                <w:lang w:val="fr-FR"/>
              </w:rPr>
            </w:pPr>
            <w:r w:rsidRPr="00C97EC6">
              <w:rPr>
                <w:noProof/>
                <w:lang w:val="fr-FR"/>
              </w:rPr>
              <w:t>La procédure comportait 3 étapes :</w:t>
            </w:r>
          </w:p>
          <w:p w:rsidR="00CA5B05" w:rsidRPr="00C97EC6" w:rsidRDefault="00CA5B05" w:rsidP="00CA5B05">
            <w:pPr>
              <w:pStyle w:val="Paragraphedeliste"/>
              <w:numPr>
                <w:ilvl w:val="0"/>
                <w:numId w:val="1"/>
              </w:numPr>
              <w:rPr>
                <w:noProof/>
                <w:lang w:val="fr-FR"/>
              </w:rPr>
            </w:pPr>
            <w:r w:rsidRPr="00C97EC6">
              <w:rPr>
                <w:noProof/>
                <w:lang w:val="fr-FR"/>
              </w:rPr>
              <w:t xml:space="preserve">la demande </w:t>
            </w:r>
            <w:r w:rsidR="00AE253A" w:rsidRPr="00C97EC6">
              <w:rPr>
                <w:i/>
                <w:noProof/>
                <w:lang w:val="fr-FR"/>
              </w:rPr>
              <w:t xml:space="preserve">ex parte </w:t>
            </w:r>
            <w:r w:rsidRPr="00C97EC6">
              <w:rPr>
                <w:noProof/>
                <w:lang w:val="fr-FR"/>
              </w:rPr>
              <w:t>au tribunal supérieur,</w:t>
            </w:r>
          </w:p>
          <w:p w:rsidR="00CA5B05" w:rsidRPr="00C97EC6" w:rsidRDefault="00CA5B05" w:rsidP="00843907">
            <w:pPr>
              <w:pStyle w:val="Paragraphedeliste"/>
              <w:numPr>
                <w:ilvl w:val="0"/>
                <w:numId w:val="1"/>
              </w:numPr>
              <w:rPr>
                <w:noProof/>
                <w:lang w:val="fr-FR"/>
              </w:rPr>
            </w:pPr>
            <w:r w:rsidRPr="00C97EC6">
              <w:rPr>
                <w:noProof/>
                <w:lang w:val="fr-FR"/>
              </w:rPr>
              <w:t>la délivrance du bref de prérogative par le tribunal supérieur enjoignant le tribunal inférieur ou l’agent public de répondre à l’allégation et de fournir le dossier lié à sa décision, sous forme d’ordre du Souverain</w:t>
            </w:r>
            <w:r w:rsidR="00857D5B" w:rsidRPr="00C97EC6">
              <w:rPr>
                <w:noProof/>
                <w:lang w:val="fr-FR"/>
              </w:rPr>
              <w:t xml:space="preserve">, </w:t>
            </w:r>
            <w:r w:rsidR="00AE253A" w:rsidRPr="00C97EC6">
              <w:rPr>
                <w:noProof/>
                <w:lang w:val="fr-FR"/>
              </w:rPr>
              <w:t xml:space="preserve">en tant que </w:t>
            </w:r>
            <w:r w:rsidR="00857D5B" w:rsidRPr="00C97EC6">
              <w:rPr>
                <w:noProof/>
                <w:lang w:val="fr-FR"/>
              </w:rPr>
              <w:t xml:space="preserve">requérant, à l’agent public, </w:t>
            </w:r>
            <w:r w:rsidR="00AE253A" w:rsidRPr="00C97EC6">
              <w:rPr>
                <w:noProof/>
                <w:lang w:val="fr-FR"/>
              </w:rPr>
              <w:t>en tant qu’</w:t>
            </w:r>
            <w:r w:rsidR="00857D5B" w:rsidRPr="00C97EC6">
              <w:rPr>
                <w:noProof/>
                <w:lang w:val="fr-FR"/>
              </w:rPr>
              <w:t>intimé,</w:t>
            </w:r>
          </w:p>
          <w:p w:rsidR="00857D5B" w:rsidRPr="00C97EC6" w:rsidRDefault="00857D5B" w:rsidP="00843907">
            <w:pPr>
              <w:pStyle w:val="Paragraphedeliste"/>
              <w:numPr>
                <w:ilvl w:val="0"/>
                <w:numId w:val="1"/>
              </w:numPr>
              <w:rPr>
                <w:noProof/>
                <w:lang w:val="fr-FR"/>
              </w:rPr>
            </w:pPr>
            <w:r w:rsidRPr="00C97EC6">
              <w:rPr>
                <w:noProof/>
                <w:lang w:val="fr-FR"/>
              </w:rPr>
              <w:t>l’ordonnance du tribunal supérieur accordant le recours extraordinaire.</w:t>
            </w:r>
          </w:p>
          <w:p w:rsidR="00857D5B" w:rsidRPr="00C97EC6" w:rsidRDefault="00857D5B" w:rsidP="00857D5B">
            <w:pPr>
              <w:rPr>
                <w:noProof/>
                <w:lang w:val="fr-FR"/>
              </w:rPr>
            </w:pPr>
          </w:p>
          <w:p w:rsidR="00857D5B" w:rsidRPr="00C97EC6" w:rsidRDefault="00857D5B" w:rsidP="00857D5B">
            <w:pPr>
              <w:rPr>
                <w:noProof/>
                <w:lang w:val="fr-FR"/>
              </w:rPr>
            </w:pPr>
            <w:r w:rsidRPr="00C97EC6">
              <w:rPr>
                <w:noProof/>
                <w:lang w:val="fr-FR"/>
              </w:rPr>
              <w:t xml:space="preserve">La Cour d’appel a donc soupçonné que </w:t>
            </w:r>
            <w:r w:rsidR="00AE253A" w:rsidRPr="00C97EC6">
              <w:rPr>
                <w:noProof/>
                <w:lang w:val="fr-FR"/>
              </w:rPr>
              <w:t xml:space="preserve">la pratique rencontrée encore dans certains ressorts de nommer le juge de première instance découlant de ce précédent historique et de l’obligation imposée par le bref de prérogative envers le décideur de première instance de produire un rapport ou dossier comportant toutes les pièces liées à l’instance initiale même si, à TN-L, les règles de la Cour suprême avaient depuis longtemps éliminé les </w:t>
            </w:r>
            <w:r w:rsidR="00EB0812" w:rsidRPr="00C97EC6">
              <w:rPr>
                <w:noProof/>
                <w:lang w:val="fr-FR"/>
              </w:rPr>
              <w:t xml:space="preserve">fictions que représentaient les </w:t>
            </w:r>
            <w:r w:rsidR="00AE253A" w:rsidRPr="00C97EC6">
              <w:rPr>
                <w:noProof/>
                <w:lang w:val="fr-FR"/>
              </w:rPr>
              <w:t xml:space="preserve">étapes a) et b), avec une procédure semblable à celle prévue en Ontario par la Règle 43 des </w:t>
            </w:r>
            <w:r w:rsidR="00AE253A" w:rsidRPr="00C97EC6">
              <w:rPr>
                <w:bCs/>
                <w:i/>
                <w:noProof/>
                <w:lang w:val="fr-FR"/>
              </w:rPr>
              <w:t>Règles de procédure en matière criminelle de la Cour supérieure de justice</w:t>
            </w:r>
            <w:r w:rsidR="00EB0812" w:rsidRPr="00C97EC6">
              <w:rPr>
                <w:i/>
                <w:noProof/>
                <w:lang w:val="fr-FR"/>
              </w:rPr>
              <w:t>.</w:t>
            </w:r>
            <w:r w:rsidR="00EB0812" w:rsidRPr="00C97EC6">
              <w:rPr>
                <w:noProof/>
                <w:lang w:val="fr-FR"/>
              </w:rPr>
              <w:t xml:space="preserve"> </w:t>
            </w:r>
          </w:p>
          <w:p w:rsidR="00EB0812" w:rsidRPr="00C97EC6" w:rsidRDefault="00EB0812" w:rsidP="00857D5B">
            <w:pPr>
              <w:rPr>
                <w:noProof/>
                <w:lang w:val="fr-FR"/>
              </w:rPr>
            </w:pPr>
          </w:p>
          <w:p w:rsidR="00EB0812" w:rsidRPr="00C97EC6" w:rsidRDefault="00EB0812" w:rsidP="00857D5B">
            <w:pPr>
              <w:rPr>
                <w:noProof/>
                <w:lang w:val="fr-FR"/>
              </w:rPr>
            </w:pPr>
            <w:r w:rsidRPr="00C97EC6">
              <w:rPr>
                <w:noProof/>
                <w:lang w:val="fr-FR"/>
              </w:rPr>
              <w:t>Comme ces dernières, ces règles sont muettes en ce qui touche les personnes qui devraient être nommées en tant que parties et semblent plutôt envisager une préservation de l’intitulé général en matière pénale, entre la Reine et l’accusé ou les accusés. Tout au plus les Règles régissant les ordonnances de prérogative précisaient-elles que les demandes de recours extraordinaire visant à casser un verdict de culpabilité, une ordonnance ou un mandat devaient être signifiées au procureur général et au juge ou au juge de paix ayant rendu le verdict ou décerné le mandat.</w:t>
            </w:r>
            <w:r w:rsidR="008F77F0" w:rsidRPr="00C97EC6">
              <w:rPr>
                <w:noProof/>
                <w:lang w:val="fr-FR"/>
              </w:rPr>
              <w:t xml:space="preserve"> Il s’agit, de fait, d’assurer que le juge ou juge de paix fournisse au tribunal de révision le dossier de l’audience menant au verdict ou au mandat. Le tribunal de révision peut, en vertu de ces règles, permettre à toute personne « affected by the proceedings » d’y prendre part. Dans l’affaire </w:t>
            </w:r>
            <w:r w:rsidR="008F77F0" w:rsidRPr="00C97EC6">
              <w:rPr>
                <w:i/>
                <w:noProof/>
                <w:lang w:val="fr-FR"/>
              </w:rPr>
              <w:t>R c Tippett</w:t>
            </w:r>
            <w:r w:rsidR="008F77F0" w:rsidRPr="00C97EC6">
              <w:rPr>
                <w:noProof/>
                <w:lang w:val="fr-FR"/>
              </w:rPr>
              <w:t xml:space="preserve"> 2010 NLCA 49, la Cour avait effectivement précisé qu’il n’était pas nécessaire de nommer le juge ou juge de paix dans l’intitulé et qu’il suffisait de reproduire l’intitulé utilisé jusqu’alors dans l’affaire. Donc, la personne signifiée n’a pas à être nommée en tant que partie</w:t>
            </w:r>
            <w:r w:rsidR="00ED6DCC" w:rsidRPr="00C97EC6">
              <w:rPr>
                <w:noProof/>
                <w:lang w:val="fr-FR"/>
              </w:rPr>
              <w:t>.</w:t>
            </w:r>
          </w:p>
          <w:p w:rsidR="00C97EC6" w:rsidRPr="00ED6DCC" w:rsidRDefault="00C97EC6">
            <w:pPr>
              <w:rPr>
                <w:noProof/>
                <w:lang w:val="fr-FR"/>
              </w:rPr>
            </w:pPr>
          </w:p>
          <w:p w:rsidR="00C97EC6" w:rsidRDefault="00C97EC6" w:rsidP="00B87D03">
            <w:pPr>
              <w:rPr>
                <w:noProof/>
                <w:lang w:val="fr-FR"/>
              </w:rPr>
            </w:pPr>
          </w:p>
          <w:p w:rsidR="00C97EC6" w:rsidRDefault="00C97EC6" w:rsidP="00B87D03">
            <w:pPr>
              <w:rPr>
                <w:noProof/>
                <w:lang w:val="fr-FR"/>
              </w:rPr>
            </w:pPr>
          </w:p>
          <w:p w:rsidR="00C97EC6" w:rsidRDefault="00C97EC6" w:rsidP="00B87D03">
            <w:pPr>
              <w:rPr>
                <w:noProof/>
                <w:lang w:val="fr-FR"/>
              </w:rPr>
            </w:pPr>
          </w:p>
          <w:p w:rsidR="00C97EC6" w:rsidRDefault="00C97EC6" w:rsidP="00B87D03">
            <w:pPr>
              <w:rPr>
                <w:noProof/>
                <w:lang w:val="fr-FR"/>
              </w:rPr>
            </w:pPr>
          </w:p>
          <w:p w:rsidR="00ED6DCC" w:rsidRDefault="00ED6DCC" w:rsidP="00B87D03">
            <w:pPr>
              <w:rPr>
                <w:noProof/>
                <w:lang w:val="fr-FR"/>
              </w:rPr>
            </w:pPr>
            <w:r w:rsidRPr="00ED6DCC">
              <w:rPr>
                <w:noProof/>
                <w:lang w:val="fr-FR"/>
              </w:rPr>
              <w:lastRenderedPageBreak/>
              <w:t xml:space="preserve">Dans </w:t>
            </w:r>
            <w:r>
              <w:rPr>
                <w:noProof/>
                <w:lang w:val="fr-FR"/>
              </w:rPr>
              <w:t>son analyse, la Cour d’appel a constaté que la jurisprudence était relativement muette sur la question de nommer le juge comme partie à l’instance de révision. Certains jugements de Saskatchewan, de l’Ontario et du Manitoba</w:t>
            </w:r>
            <w:r>
              <w:rPr>
                <w:rStyle w:val="Appelnotedebasdep"/>
                <w:noProof/>
                <w:lang w:val="fr-FR"/>
              </w:rPr>
              <w:footnoteReference w:id="1"/>
            </w:r>
            <w:r w:rsidR="0098492D">
              <w:rPr>
                <w:noProof/>
                <w:lang w:val="fr-FR"/>
              </w:rPr>
              <w:t xml:space="preserve"> penchaient de ce côté, opinant que l’ordonnance visait l’agent public et qu’en conséquence, son nom devait figurer dans l’intitulé de la requête en révision. </w:t>
            </w:r>
            <w:r w:rsidR="00B2615C">
              <w:rPr>
                <w:noProof/>
                <w:lang w:val="fr-FR"/>
              </w:rPr>
              <w:t>Une décision récente de l’Alberta</w:t>
            </w:r>
            <w:r w:rsidR="00B2615C">
              <w:rPr>
                <w:rStyle w:val="Appelnotedebasdep"/>
                <w:noProof/>
                <w:lang w:val="fr-FR"/>
              </w:rPr>
              <w:footnoteReference w:id="2"/>
            </w:r>
            <w:r w:rsidR="00B2615C">
              <w:rPr>
                <w:noProof/>
                <w:lang w:val="fr-FR"/>
              </w:rPr>
              <w:t xml:space="preserve"> déclarait plutôt que l’obligation imposée par le tribunal de révision visait le tribunal ou l’instance inférieure et qu’en conséquence, il n</w:t>
            </w:r>
            <w:r w:rsidR="00B87D03">
              <w:rPr>
                <w:noProof/>
                <w:lang w:val="fr-FR"/>
              </w:rPr>
              <w:t>’es</w:t>
            </w:r>
            <w:r w:rsidR="00B2615C">
              <w:rPr>
                <w:noProof/>
                <w:lang w:val="fr-FR"/>
              </w:rPr>
              <w:t>t p</w:t>
            </w:r>
            <w:r w:rsidR="00B87D03">
              <w:rPr>
                <w:noProof/>
                <w:lang w:val="fr-FR"/>
              </w:rPr>
              <w:t>lu</w:t>
            </w:r>
            <w:r w:rsidR="00B2615C">
              <w:rPr>
                <w:noProof/>
                <w:lang w:val="fr-FR"/>
              </w:rPr>
              <w:t xml:space="preserve">s nécessaire </w:t>
            </w:r>
            <w:r w:rsidR="00B87D03">
              <w:rPr>
                <w:noProof/>
                <w:lang w:val="fr-FR"/>
              </w:rPr>
              <w:t xml:space="preserve">ni même approprié </w:t>
            </w:r>
            <w:r w:rsidR="00B2615C">
              <w:rPr>
                <w:noProof/>
                <w:lang w:val="fr-FR"/>
              </w:rPr>
              <w:t xml:space="preserve">de nommer le juge. Historiquement, l’ordonnance de révision pouvait s’adresser à un fonctionnaire sans formation juridique ; de nos jours, les juges de la Cour provinciale reçoivent la même formation et répondent aux mêmes exigences en termes d’expérience que les juges des cours supérieures. </w:t>
            </w:r>
            <w:r w:rsidR="00B87D03">
              <w:rPr>
                <w:noProof/>
                <w:lang w:val="fr-FR"/>
              </w:rPr>
              <w:t xml:space="preserve">Ils se conforment à l’ordonnance du tribunal de révision sans être nommés ou </w:t>
            </w:r>
            <w:r w:rsidR="00AD6CC1">
              <w:rPr>
                <w:noProof/>
                <w:lang w:val="fr-FR"/>
              </w:rPr>
              <w:t>être parties</w:t>
            </w:r>
            <w:r w:rsidR="00B87D03">
              <w:rPr>
                <w:noProof/>
                <w:lang w:val="fr-FR"/>
              </w:rPr>
              <w:t xml:space="preserve"> dans l’instance de révision.</w:t>
            </w:r>
          </w:p>
          <w:p w:rsidR="00B87D03" w:rsidRDefault="00B87D03" w:rsidP="00B87D03">
            <w:pPr>
              <w:rPr>
                <w:noProof/>
                <w:lang w:val="fr-FR"/>
              </w:rPr>
            </w:pPr>
          </w:p>
          <w:p w:rsidR="00B22910" w:rsidRDefault="00B87D03" w:rsidP="009211BD">
            <w:pPr>
              <w:rPr>
                <w:noProof/>
                <w:lang w:val="fr-FR"/>
              </w:rPr>
            </w:pPr>
            <w:r>
              <w:rPr>
                <w:noProof/>
                <w:lang w:val="fr-FR"/>
              </w:rPr>
              <w:t xml:space="preserve">Cela dit, que le juge </w:t>
            </w:r>
            <w:r w:rsidR="00B22910">
              <w:rPr>
                <w:noProof/>
                <w:lang w:val="fr-FR"/>
              </w:rPr>
              <w:t xml:space="preserve">de première instance soit ou non partie ou nommé dans l’intitulé, quel rôle pourrait-il bien jouer dans l’audience de révision ? La Cour a déclaré qu’il est concevable, mais rare, qu’il ait un rôle. La chose ne surgirait que dans des circonstances où sa contribution serait « appropriée et utile ». Il reviendrait alors au juge de réclamer la qualité de partie ou d’intervenant, sans que </w:t>
            </w:r>
            <w:r w:rsidR="00E747EB">
              <w:rPr>
                <w:noProof/>
                <w:lang w:val="fr-FR"/>
              </w:rPr>
              <w:t xml:space="preserve">cette </w:t>
            </w:r>
            <w:r w:rsidR="00B22910">
              <w:rPr>
                <w:noProof/>
                <w:lang w:val="fr-FR"/>
              </w:rPr>
              <w:t xml:space="preserve">qualité lui soit automatiquement reconnue. </w:t>
            </w:r>
            <w:r w:rsidR="00D60064">
              <w:rPr>
                <w:noProof/>
                <w:lang w:val="fr-FR"/>
              </w:rPr>
              <w:t>Les juges sont censés être justes et impartiaux : une fois leur fonction adjudicatrice accomplie, leur rôle prend fin. Toute participation ultérieure pourrait laisser l’impression que le juge a un quelconque intérêt dans l’instance. Les principes de finalité et d’impartialité exigent donc que tout tribunal de première instance ne présente pas d’observations au tribunal de révision pour défendre, qualifier ou offrir un quelconque complément d’information à sa décision. Dans les rares cas où le droit de participer à l’audience de révision est accordé, ce serait pour compléter un dossier déficient (enregistrement perdu) ou pour expliquer la compétence du tribunal</w:t>
            </w:r>
            <w:r w:rsidR="00D60064">
              <w:rPr>
                <w:rStyle w:val="Appelnotedebasdep"/>
                <w:noProof/>
                <w:lang w:val="fr-FR"/>
              </w:rPr>
              <w:footnoteReference w:id="3"/>
            </w:r>
            <w:r w:rsidR="00D60064">
              <w:rPr>
                <w:noProof/>
                <w:lang w:val="fr-FR"/>
              </w:rPr>
              <w:t>, et encore seulement si ces renseignements ne peuvent pas être obtenus autrement.</w:t>
            </w:r>
            <w:r w:rsidR="009211BD">
              <w:rPr>
                <w:noProof/>
                <w:lang w:val="fr-FR"/>
              </w:rPr>
              <w:t xml:space="preserve"> </w:t>
            </w:r>
            <w:r w:rsidR="00E747EB">
              <w:rPr>
                <w:noProof/>
                <w:lang w:val="fr-FR"/>
              </w:rPr>
              <w:t>Les seules autres possibilités évoquées par la Cour d’appel visaient des situations où la bonne foi du juge était remise en question ou qu’une quelconque responsabilité civile délictuelle pourrait en découler, où le juge de première instance avait connaissance de nouveaux faits ou éléments survenus ou obtenus après la décision faisant l’objet de la révision ou encore si le dossier, par sa nature, ne dévoilait pas tout.</w:t>
            </w:r>
          </w:p>
          <w:p w:rsidR="00E747EB" w:rsidRDefault="00E747EB" w:rsidP="009211BD">
            <w:pPr>
              <w:rPr>
                <w:noProof/>
                <w:lang w:val="fr-FR"/>
              </w:rPr>
            </w:pPr>
          </w:p>
          <w:p w:rsidR="00E747EB" w:rsidRDefault="00E747EB" w:rsidP="009211BD">
            <w:pPr>
              <w:rPr>
                <w:noProof/>
                <w:lang w:val="fr-FR"/>
              </w:rPr>
            </w:pPr>
            <w:r>
              <w:rPr>
                <w:noProof/>
                <w:lang w:val="fr-FR"/>
              </w:rPr>
              <w:t>La Cour d’appel a donc conclu qu’en l’espèce, le juge de la Cour provinciale ne devait pas être nommé ou partie à l’instance, et qu’il n’avait pas le droit de participer à l’audience de révision et d’être entendu à moins qu’il ne fasse valoir l’un des principes ou exceptions énoncés ci-haut.</w:t>
            </w:r>
          </w:p>
          <w:p w:rsidR="0045495B" w:rsidRDefault="0045495B" w:rsidP="009211BD">
            <w:pPr>
              <w:rPr>
                <w:noProof/>
                <w:lang w:val="fr-FR"/>
              </w:rPr>
            </w:pPr>
          </w:p>
          <w:p w:rsidR="0045495B" w:rsidRPr="00E747EB" w:rsidRDefault="0045495B" w:rsidP="0045495B">
            <w:pPr>
              <w:ind w:left="1440"/>
              <w:jc w:val="right"/>
              <w:rPr>
                <w:noProof/>
                <w:lang w:val="fr-CA"/>
              </w:rPr>
            </w:pPr>
            <w:r>
              <w:rPr>
                <w:noProof/>
                <w:lang w:val="fr-CA"/>
              </w:rPr>
              <w:t>Robert P. Doyle</w:t>
            </w:r>
          </w:p>
        </w:tc>
      </w:tr>
    </w:tbl>
    <w:p w:rsidR="0002580C" w:rsidRDefault="0064308C">
      <w:pPr>
        <w:rPr>
          <w:lang w:val="fr-CA"/>
        </w:rPr>
      </w:pPr>
    </w:p>
    <w:p w:rsidR="00CF3A25" w:rsidRPr="00CF3A25" w:rsidRDefault="00CF3A25">
      <w:pPr>
        <w:rPr>
          <w:lang w:val="fr-CA"/>
        </w:rPr>
      </w:pPr>
    </w:p>
    <w:sectPr w:rsidR="00CF3A25" w:rsidRPr="00CF3A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B5A" w:rsidRDefault="00CD2B5A" w:rsidP="00ED6DCC">
      <w:pPr>
        <w:spacing w:after="0" w:line="240" w:lineRule="auto"/>
      </w:pPr>
      <w:r>
        <w:separator/>
      </w:r>
    </w:p>
  </w:endnote>
  <w:endnote w:type="continuationSeparator" w:id="0">
    <w:p w:rsidR="00CD2B5A" w:rsidRDefault="00CD2B5A" w:rsidP="00ED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B5A" w:rsidRDefault="00CD2B5A" w:rsidP="00ED6DCC">
      <w:pPr>
        <w:spacing w:after="0" w:line="240" w:lineRule="auto"/>
      </w:pPr>
      <w:r>
        <w:separator/>
      </w:r>
    </w:p>
  </w:footnote>
  <w:footnote w:type="continuationSeparator" w:id="0">
    <w:p w:rsidR="00CD2B5A" w:rsidRDefault="00CD2B5A" w:rsidP="00ED6DCC">
      <w:pPr>
        <w:spacing w:after="0" w:line="240" w:lineRule="auto"/>
      </w:pPr>
      <w:r>
        <w:continuationSeparator/>
      </w:r>
    </w:p>
  </w:footnote>
  <w:footnote w:id="1">
    <w:p w:rsidR="00ED6DCC" w:rsidRPr="0098492D" w:rsidRDefault="00ED6DCC">
      <w:pPr>
        <w:pStyle w:val="Notedebasdepage"/>
        <w:rPr>
          <w:lang w:val="en-CA"/>
        </w:rPr>
      </w:pPr>
      <w:r>
        <w:rPr>
          <w:rStyle w:val="Appelnotedebasdep"/>
        </w:rPr>
        <w:footnoteRef/>
      </w:r>
      <w:r>
        <w:t xml:space="preserve"> </w:t>
      </w:r>
      <w:r>
        <w:rPr>
          <w:i/>
          <w:lang w:val="en-CA"/>
        </w:rPr>
        <w:t>AG (Canada) v Andrychuk Prov. J. and Hickie</w:t>
      </w:r>
      <w:r>
        <w:rPr>
          <w:lang w:val="en-CA"/>
        </w:rPr>
        <w:t xml:space="preserve">, </w:t>
      </w:r>
      <w:r>
        <w:rPr>
          <w:rFonts w:cstheme="minorHAnsi"/>
          <w:lang w:val="en-CA"/>
        </w:rPr>
        <w:t>[</w:t>
      </w:r>
      <w:r>
        <w:rPr>
          <w:lang w:val="en-CA"/>
        </w:rPr>
        <w:t>1980</w:t>
      </w:r>
      <w:r>
        <w:rPr>
          <w:rFonts w:cstheme="minorHAnsi"/>
          <w:lang w:val="en-CA"/>
        </w:rPr>
        <w:t>]</w:t>
      </w:r>
      <w:r>
        <w:rPr>
          <w:lang w:val="en-CA"/>
        </w:rPr>
        <w:t xml:space="preserve"> 6 WWR 231 (Sask. CA), </w:t>
      </w:r>
      <w:r>
        <w:rPr>
          <w:i/>
          <w:lang w:val="en-CA"/>
        </w:rPr>
        <w:t>R v Valila</w:t>
      </w:r>
      <w:r w:rsidR="0098492D">
        <w:rPr>
          <w:i/>
          <w:lang w:val="en-CA"/>
        </w:rPr>
        <w:t xml:space="preserve">, </w:t>
      </w:r>
      <w:r w:rsidR="0098492D">
        <w:rPr>
          <w:lang w:val="en-CA"/>
        </w:rPr>
        <w:t xml:space="preserve">1986 CarswellSask 441, </w:t>
      </w:r>
      <w:r w:rsidR="0098492D">
        <w:rPr>
          <w:i/>
          <w:lang w:val="en-CA"/>
        </w:rPr>
        <w:t>R c M(P),</w:t>
      </w:r>
      <w:r w:rsidR="0098492D">
        <w:rPr>
          <w:lang w:val="en-CA"/>
        </w:rPr>
        <w:t xml:space="preserve">(1993), 110 DLR(4e) 72 (CS), </w:t>
      </w:r>
      <w:r w:rsidR="0098492D">
        <w:rPr>
          <w:i/>
          <w:lang w:val="en-CA"/>
        </w:rPr>
        <w:t>R c Pochrebny</w:t>
      </w:r>
      <w:r w:rsidR="0098492D">
        <w:rPr>
          <w:lang w:val="en-CA"/>
        </w:rPr>
        <w:t xml:space="preserve">, </w:t>
      </w:r>
      <w:r w:rsidR="0098492D">
        <w:rPr>
          <w:rFonts w:cstheme="minorHAnsi"/>
          <w:lang w:val="en-CA"/>
        </w:rPr>
        <w:t>[1930] 3 WWR 48 (BR Man).</w:t>
      </w:r>
    </w:p>
  </w:footnote>
  <w:footnote w:id="2">
    <w:p w:rsidR="00B2615C" w:rsidRPr="00B2615C" w:rsidRDefault="00B2615C">
      <w:pPr>
        <w:pStyle w:val="Notedebasdepage"/>
        <w:rPr>
          <w:lang w:val="en-CA"/>
        </w:rPr>
      </w:pPr>
      <w:r>
        <w:rPr>
          <w:rStyle w:val="Appelnotedebasdep"/>
        </w:rPr>
        <w:footnoteRef/>
      </w:r>
      <w:r>
        <w:t xml:space="preserve"> </w:t>
      </w:r>
      <w:r>
        <w:rPr>
          <w:i/>
        </w:rPr>
        <w:t>Re Alberta (Provincial Court Judge)</w:t>
      </w:r>
      <w:r>
        <w:t>, 2015 ABQB 728</w:t>
      </w:r>
    </w:p>
  </w:footnote>
  <w:footnote w:id="3">
    <w:p w:rsidR="00D60064" w:rsidRPr="009211BD" w:rsidRDefault="00D60064">
      <w:pPr>
        <w:pStyle w:val="Notedebasdepage"/>
        <w:rPr>
          <w:lang w:val="fr-CA"/>
        </w:rPr>
      </w:pPr>
      <w:r>
        <w:rPr>
          <w:rStyle w:val="Appelnotedebasdep"/>
        </w:rPr>
        <w:footnoteRef/>
      </w:r>
      <w:r w:rsidRPr="009211BD">
        <w:rPr>
          <w:lang w:val="fr-CA"/>
        </w:rPr>
        <w:t xml:space="preserve"> </w:t>
      </w:r>
      <w:r w:rsidRPr="009211BD">
        <w:rPr>
          <w:i/>
          <w:lang w:val="fr-CA"/>
        </w:rPr>
        <w:t>Ontario (Energy Board) v Ontario Power Generation Inc.</w:t>
      </w:r>
      <w:r w:rsidR="009211BD" w:rsidRPr="009211BD">
        <w:rPr>
          <w:lang w:val="fr-CA"/>
        </w:rPr>
        <w:t xml:space="preserve">, 2015 SCC 44, en matière réglementaire visant un tribunal </w:t>
      </w:r>
      <w:r w:rsidR="009211BD">
        <w:rPr>
          <w:lang w:val="fr-CA"/>
        </w:rPr>
        <w:t>administratif</w:t>
      </w:r>
      <w:r w:rsidR="009211BD" w:rsidRPr="009211BD">
        <w:rPr>
          <w:lang w:val="fr-C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37E49"/>
    <w:multiLevelType w:val="hybridMultilevel"/>
    <w:tmpl w:val="A5B46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25"/>
    <w:rsid w:val="000908CC"/>
    <w:rsid w:val="00294C9D"/>
    <w:rsid w:val="00342B25"/>
    <w:rsid w:val="0045495B"/>
    <w:rsid w:val="004724A4"/>
    <w:rsid w:val="00615194"/>
    <w:rsid w:val="00637BCC"/>
    <w:rsid w:val="0064308C"/>
    <w:rsid w:val="006D3B15"/>
    <w:rsid w:val="0073191C"/>
    <w:rsid w:val="00844CDF"/>
    <w:rsid w:val="00857D5B"/>
    <w:rsid w:val="008F77F0"/>
    <w:rsid w:val="009211BD"/>
    <w:rsid w:val="00921569"/>
    <w:rsid w:val="00957346"/>
    <w:rsid w:val="009653A2"/>
    <w:rsid w:val="00980D5C"/>
    <w:rsid w:val="0098492D"/>
    <w:rsid w:val="009D0A2C"/>
    <w:rsid w:val="00A05C13"/>
    <w:rsid w:val="00AD6CC1"/>
    <w:rsid w:val="00AD6F82"/>
    <w:rsid w:val="00AE253A"/>
    <w:rsid w:val="00AE69F2"/>
    <w:rsid w:val="00B22910"/>
    <w:rsid w:val="00B2615C"/>
    <w:rsid w:val="00B87D03"/>
    <w:rsid w:val="00C449C2"/>
    <w:rsid w:val="00C97EC6"/>
    <w:rsid w:val="00CA5B05"/>
    <w:rsid w:val="00CD2B5A"/>
    <w:rsid w:val="00CF3A25"/>
    <w:rsid w:val="00D60064"/>
    <w:rsid w:val="00D87DBD"/>
    <w:rsid w:val="00E31C35"/>
    <w:rsid w:val="00E747EB"/>
    <w:rsid w:val="00EB0812"/>
    <w:rsid w:val="00ED6DCC"/>
    <w:rsid w:val="00EE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217B0-DA52-46C1-955A-1DB2427F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F3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A5B05"/>
    <w:pPr>
      <w:ind w:left="720"/>
      <w:contextualSpacing/>
    </w:pPr>
  </w:style>
  <w:style w:type="paragraph" w:styleId="Notedebasdepage">
    <w:name w:val="footnote text"/>
    <w:basedOn w:val="Normal"/>
    <w:link w:val="NotedebasdepageCar"/>
    <w:uiPriority w:val="99"/>
    <w:semiHidden/>
    <w:unhideWhenUsed/>
    <w:rsid w:val="00ED6D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6DCC"/>
    <w:rPr>
      <w:sz w:val="20"/>
      <w:szCs w:val="20"/>
    </w:rPr>
  </w:style>
  <w:style w:type="character" w:styleId="Appelnotedebasdep">
    <w:name w:val="footnote reference"/>
    <w:basedOn w:val="Policepardfaut"/>
    <w:uiPriority w:val="99"/>
    <w:semiHidden/>
    <w:unhideWhenUsed/>
    <w:rsid w:val="00ED6DCC"/>
    <w:rPr>
      <w:vertAlign w:val="superscript"/>
    </w:rPr>
  </w:style>
  <w:style w:type="paragraph" w:styleId="En-tte">
    <w:name w:val="header"/>
    <w:basedOn w:val="Normal"/>
    <w:link w:val="En-tteCar"/>
    <w:uiPriority w:val="99"/>
    <w:unhideWhenUsed/>
    <w:rsid w:val="0098492D"/>
    <w:pPr>
      <w:tabs>
        <w:tab w:val="center" w:pos="4320"/>
        <w:tab w:val="right" w:pos="8640"/>
      </w:tabs>
      <w:spacing w:after="0" w:line="240" w:lineRule="auto"/>
    </w:pPr>
  </w:style>
  <w:style w:type="character" w:customStyle="1" w:styleId="En-tteCar">
    <w:name w:val="En-tête Car"/>
    <w:basedOn w:val="Policepardfaut"/>
    <w:link w:val="En-tte"/>
    <w:uiPriority w:val="99"/>
    <w:rsid w:val="0098492D"/>
  </w:style>
  <w:style w:type="paragraph" w:styleId="Pieddepage">
    <w:name w:val="footer"/>
    <w:basedOn w:val="Normal"/>
    <w:link w:val="PieddepageCar"/>
    <w:uiPriority w:val="99"/>
    <w:unhideWhenUsed/>
    <w:rsid w:val="0098492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8492D"/>
  </w:style>
  <w:style w:type="paragraph" w:styleId="Textedebulles">
    <w:name w:val="Balloon Text"/>
    <w:basedOn w:val="Normal"/>
    <w:link w:val="TextedebullesCar"/>
    <w:uiPriority w:val="99"/>
    <w:semiHidden/>
    <w:unhideWhenUsed/>
    <w:rsid w:val="00AD6C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29766">
      <w:bodyDiv w:val="1"/>
      <w:marLeft w:val="0"/>
      <w:marRight w:val="0"/>
      <w:marTop w:val="0"/>
      <w:marBottom w:val="0"/>
      <w:divBdr>
        <w:top w:val="none" w:sz="0" w:space="0" w:color="auto"/>
        <w:left w:val="none" w:sz="0" w:space="0" w:color="auto"/>
        <w:bottom w:val="none" w:sz="0" w:space="0" w:color="auto"/>
        <w:right w:val="none" w:sz="0" w:space="0" w:color="auto"/>
      </w:divBdr>
      <w:divsChild>
        <w:div w:id="83109268">
          <w:marLeft w:val="0"/>
          <w:marRight w:val="0"/>
          <w:marTop w:val="0"/>
          <w:marBottom w:val="0"/>
          <w:divBdr>
            <w:top w:val="none" w:sz="0" w:space="0" w:color="auto"/>
            <w:left w:val="none" w:sz="0" w:space="0" w:color="auto"/>
            <w:bottom w:val="none" w:sz="0" w:space="0" w:color="auto"/>
            <w:right w:val="none" w:sz="0" w:space="0" w:color="auto"/>
          </w:divBdr>
          <w:divsChild>
            <w:div w:id="214513157">
              <w:marLeft w:val="0"/>
              <w:marRight w:val="0"/>
              <w:marTop w:val="100"/>
              <w:marBottom w:val="100"/>
              <w:divBdr>
                <w:top w:val="none" w:sz="0" w:space="0" w:color="auto"/>
                <w:left w:val="none" w:sz="0" w:space="0" w:color="auto"/>
                <w:bottom w:val="none" w:sz="0" w:space="0" w:color="auto"/>
                <w:right w:val="none" w:sz="0" w:space="0" w:color="auto"/>
              </w:divBdr>
              <w:divsChild>
                <w:div w:id="1179346761">
                  <w:marLeft w:val="0"/>
                  <w:marRight w:val="0"/>
                  <w:marTop w:val="100"/>
                  <w:marBottom w:val="100"/>
                  <w:divBdr>
                    <w:top w:val="none" w:sz="0" w:space="0" w:color="auto"/>
                    <w:left w:val="none" w:sz="0" w:space="0" w:color="auto"/>
                    <w:bottom w:val="none" w:sz="0" w:space="0" w:color="auto"/>
                    <w:right w:val="none" w:sz="0" w:space="0" w:color="auto"/>
                  </w:divBdr>
                  <w:divsChild>
                    <w:div w:id="1164467755">
                      <w:marLeft w:val="0"/>
                      <w:marRight w:val="0"/>
                      <w:marTop w:val="0"/>
                      <w:marBottom w:val="0"/>
                      <w:divBdr>
                        <w:top w:val="none" w:sz="0" w:space="0" w:color="auto"/>
                        <w:left w:val="none" w:sz="0" w:space="0" w:color="auto"/>
                        <w:bottom w:val="none" w:sz="0" w:space="0" w:color="auto"/>
                        <w:right w:val="none" w:sz="0" w:space="0" w:color="auto"/>
                      </w:divBdr>
                      <w:divsChild>
                        <w:div w:id="68891443">
                          <w:marLeft w:val="0"/>
                          <w:marRight w:val="0"/>
                          <w:marTop w:val="0"/>
                          <w:marBottom w:val="0"/>
                          <w:divBdr>
                            <w:top w:val="none" w:sz="0" w:space="0" w:color="auto"/>
                            <w:left w:val="none" w:sz="0" w:space="0" w:color="auto"/>
                            <w:bottom w:val="none" w:sz="0" w:space="0" w:color="auto"/>
                            <w:right w:val="none" w:sz="0" w:space="0" w:color="auto"/>
                          </w:divBdr>
                          <w:divsChild>
                            <w:div w:id="228466003">
                              <w:marLeft w:val="0"/>
                              <w:marRight w:val="0"/>
                              <w:marTop w:val="0"/>
                              <w:marBottom w:val="0"/>
                              <w:divBdr>
                                <w:top w:val="none" w:sz="0" w:space="0" w:color="auto"/>
                                <w:left w:val="none" w:sz="0" w:space="0" w:color="auto"/>
                                <w:bottom w:val="none" w:sz="0" w:space="0" w:color="auto"/>
                                <w:right w:val="none" w:sz="0" w:space="0" w:color="auto"/>
                              </w:divBdr>
                              <w:divsChild>
                                <w:div w:id="886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147852">
      <w:bodyDiv w:val="1"/>
      <w:marLeft w:val="0"/>
      <w:marRight w:val="0"/>
      <w:marTop w:val="0"/>
      <w:marBottom w:val="0"/>
      <w:divBdr>
        <w:top w:val="none" w:sz="0" w:space="0" w:color="auto"/>
        <w:left w:val="none" w:sz="0" w:space="0" w:color="auto"/>
        <w:bottom w:val="none" w:sz="0" w:space="0" w:color="auto"/>
        <w:right w:val="none" w:sz="0" w:space="0" w:color="auto"/>
      </w:divBdr>
      <w:divsChild>
        <w:div w:id="1019086720">
          <w:marLeft w:val="0"/>
          <w:marRight w:val="0"/>
          <w:marTop w:val="0"/>
          <w:marBottom w:val="0"/>
          <w:divBdr>
            <w:top w:val="none" w:sz="0" w:space="0" w:color="auto"/>
            <w:left w:val="none" w:sz="0" w:space="0" w:color="auto"/>
            <w:bottom w:val="none" w:sz="0" w:space="0" w:color="auto"/>
            <w:right w:val="none" w:sz="0" w:space="0" w:color="auto"/>
          </w:divBdr>
          <w:divsChild>
            <w:div w:id="719986748">
              <w:marLeft w:val="0"/>
              <w:marRight w:val="0"/>
              <w:marTop w:val="0"/>
              <w:marBottom w:val="0"/>
              <w:divBdr>
                <w:top w:val="none" w:sz="0" w:space="0" w:color="auto"/>
                <w:left w:val="none" w:sz="0" w:space="0" w:color="auto"/>
                <w:bottom w:val="none" w:sz="0" w:space="0" w:color="auto"/>
                <w:right w:val="none" w:sz="0" w:space="0" w:color="auto"/>
              </w:divBdr>
              <w:divsChild>
                <w:div w:id="377433696">
                  <w:marLeft w:val="0"/>
                  <w:marRight w:val="0"/>
                  <w:marTop w:val="0"/>
                  <w:marBottom w:val="0"/>
                  <w:divBdr>
                    <w:top w:val="none" w:sz="0" w:space="0" w:color="auto"/>
                    <w:left w:val="none" w:sz="0" w:space="0" w:color="auto"/>
                    <w:bottom w:val="none" w:sz="0" w:space="0" w:color="auto"/>
                    <w:right w:val="none" w:sz="0" w:space="0" w:color="auto"/>
                  </w:divBdr>
                  <w:divsChild>
                    <w:div w:id="288167144">
                      <w:marLeft w:val="0"/>
                      <w:marRight w:val="0"/>
                      <w:marTop w:val="0"/>
                      <w:marBottom w:val="0"/>
                      <w:divBdr>
                        <w:top w:val="none" w:sz="0" w:space="0" w:color="auto"/>
                        <w:left w:val="none" w:sz="0" w:space="0" w:color="auto"/>
                        <w:bottom w:val="none" w:sz="0" w:space="0" w:color="auto"/>
                        <w:right w:val="none" w:sz="0" w:space="0" w:color="auto"/>
                      </w:divBdr>
                      <w:divsChild>
                        <w:div w:id="130904813">
                          <w:marLeft w:val="0"/>
                          <w:marRight w:val="0"/>
                          <w:marTop w:val="0"/>
                          <w:marBottom w:val="0"/>
                          <w:divBdr>
                            <w:top w:val="none" w:sz="0" w:space="0" w:color="auto"/>
                            <w:left w:val="none" w:sz="0" w:space="0" w:color="auto"/>
                            <w:bottom w:val="none" w:sz="0" w:space="0" w:color="auto"/>
                            <w:right w:val="none" w:sz="0" w:space="0" w:color="auto"/>
                          </w:divBdr>
                          <w:divsChild>
                            <w:div w:id="803935320">
                              <w:marLeft w:val="0"/>
                              <w:marRight w:val="0"/>
                              <w:marTop w:val="0"/>
                              <w:marBottom w:val="0"/>
                              <w:divBdr>
                                <w:top w:val="none" w:sz="0" w:space="0" w:color="auto"/>
                                <w:left w:val="none" w:sz="0" w:space="0" w:color="auto"/>
                                <w:bottom w:val="none" w:sz="0" w:space="0" w:color="auto"/>
                                <w:right w:val="none" w:sz="0" w:space="0" w:color="auto"/>
                              </w:divBdr>
                              <w:divsChild>
                                <w:div w:id="726996214">
                                  <w:marLeft w:val="0"/>
                                  <w:marRight w:val="0"/>
                                  <w:marTop w:val="0"/>
                                  <w:marBottom w:val="0"/>
                                  <w:divBdr>
                                    <w:top w:val="none" w:sz="0" w:space="0" w:color="auto"/>
                                    <w:left w:val="none" w:sz="0" w:space="0" w:color="auto"/>
                                    <w:bottom w:val="none" w:sz="0" w:space="0" w:color="auto"/>
                                    <w:right w:val="none" w:sz="0" w:space="0" w:color="auto"/>
                                  </w:divBdr>
                                  <w:divsChild>
                                    <w:div w:id="163254041">
                                      <w:marLeft w:val="0"/>
                                      <w:marRight w:val="0"/>
                                      <w:marTop w:val="75"/>
                                      <w:marBottom w:val="75"/>
                                      <w:divBdr>
                                        <w:top w:val="none" w:sz="0" w:space="0" w:color="auto"/>
                                        <w:left w:val="none" w:sz="0" w:space="0" w:color="auto"/>
                                        <w:bottom w:val="none" w:sz="0" w:space="0" w:color="auto"/>
                                        <w:right w:val="none" w:sz="0" w:space="0" w:color="auto"/>
                                      </w:divBdr>
                                      <w:divsChild>
                                        <w:div w:id="1798833498">
                                          <w:marLeft w:val="0"/>
                                          <w:marRight w:val="0"/>
                                          <w:marTop w:val="0"/>
                                          <w:marBottom w:val="0"/>
                                          <w:divBdr>
                                            <w:top w:val="none" w:sz="0" w:space="0" w:color="auto"/>
                                            <w:left w:val="none" w:sz="0" w:space="0" w:color="auto"/>
                                            <w:bottom w:val="none" w:sz="0" w:space="0" w:color="auto"/>
                                            <w:right w:val="none" w:sz="0" w:space="0" w:color="auto"/>
                                          </w:divBdr>
                                        </w:div>
                                        <w:div w:id="1567455431">
                                          <w:marLeft w:val="0"/>
                                          <w:marRight w:val="0"/>
                                          <w:marTop w:val="0"/>
                                          <w:marBottom w:val="0"/>
                                          <w:divBdr>
                                            <w:top w:val="none" w:sz="0" w:space="0" w:color="auto"/>
                                            <w:left w:val="none" w:sz="0" w:space="0" w:color="auto"/>
                                            <w:bottom w:val="none" w:sz="0" w:space="0" w:color="auto"/>
                                            <w:right w:val="none" w:sz="0" w:space="0" w:color="auto"/>
                                          </w:divBdr>
                                        </w:div>
                                        <w:div w:id="544610365">
                                          <w:marLeft w:val="0"/>
                                          <w:marRight w:val="0"/>
                                          <w:marTop w:val="0"/>
                                          <w:marBottom w:val="0"/>
                                          <w:divBdr>
                                            <w:top w:val="none" w:sz="0" w:space="0" w:color="auto"/>
                                            <w:left w:val="none" w:sz="0" w:space="0" w:color="auto"/>
                                            <w:bottom w:val="none" w:sz="0" w:space="0" w:color="auto"/>
                                            <w:right w:val="none" w:sz="0" w:space="0" w:color="auto"/>
                                          </w:divBdr>
                                        </w:div>
                                        <w:div w:id="16265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776733">
      <w:bodyDiv w:val="1"/>
      <w:marLeft w:val="0"/>
      <w:marRight w:val="0"/>
      <w:marTop w:val="0"/>
      <w:marBottom w:val="0"/>
      <w:divBdr>
        <w:top w:val="none" w:sz="0" w:space="0" w:color="auto"/>
        <w:left w:val="none" w:sz="0" w:space="0" w:color="auto"/>
        <w:bottom w:val="none" w:sz="0" w:space="0" w:color="auto"/>
        <w:right w:val="none" w:sz="0" w:space="0" w:color="auto"/>
      </w:divBdr>
      <w:divsChild>
        <w:div w:id="277954146">
          <w:marLeft w:val="0"/>
          <w:marRight w:val="0"/>
          <w:marTop w:val="0"/>
          <w:marBottom w:val="0"/>
          <w:divBdr>
            <w:top w:val="none" w:sz="0" w:space="0" w:color="auto"/>
            <w:left w:val="none" w:sz="0" w:space="0" w:color="auto"/>
            <w:bottom w:val="none" w:sz="0" w:space="0" w:color="auto"/>
            <w:right w:val="none" w:sz="0" w:space="0" w:color="auto"/>
          </w:divBdr>
          <w:divsChild>
            <w:div w:id="1985312733">
              <w:marLeft w:val="0"/>
              <w:marRight w:val="0"/>
              <w:marTop w:val="100"/>
              <w:marBottom w:val="100"/>
              <w:divBdr>
                <w:top w:val="none" w:sz="0" w:space="0" w:color="auto"/>
                <w:left w:val="none" w:sz="0" w:space="0" w:color="auto"/>
                <w:bottom w:val="none" w:sz="0" w:space="0" w:color="auto"/>
                <w:right w:val="none" w:sz="0" w:space="0" w:color="auto"/>
              </w:divBdr>
              <w:divsChild>
                <w:div w:id="1369572986">
                  <w:marLeft w:val="0"/>
                  <w:marRight w:val="0"/>
                  <w:marTop w:val="100"/>
                  <w:marBottom w:val="100"/>
                  <w:divBdr>
                    <w:top w:val="none" w:sz="0" w:space="0" w:color="auto"/>
                    <w:left w:val="none" w:sz="0" w:space="0" w:color="auto"/>
                    <w:bottom w:val="none" w:sz="0" w:space="0" w:color="auto"/>
                    <w:right w:val="none" w:sz="0" w:space="0" w:color="auto"/>
                  </w:divBdr>
                  <w:divsChild>
                    <w:div w:id="1850874213">
                      <w:marLeft w:val="0"/>
                      <w:marRight w:val="0"/>
                      <w:marTop w:val="0"/>
                      <w:marBottom w:val="0"/>
                      <w:divBdr>
                        <w:top w:val="none" w:sz="0" w:space="0" w:color="auto"/>
                        <w:left w:val="none" w:sz="0" w:space="0" w:color="auto"/>
                        <w:bottom w:val="none" w:sz="0" w:space="0" w:color="auto"/>
                        <w:right w:val="none" w:sz="0" w:space="0" w:color="auto"/>
                      </w:divBdr>
                      <w:divsChild>
                        <w:div w:id="337118298">
                          <w:marLeft w:val="0"/>
                          <w:marRight w:val="0"/>
                          <w:marTop w:val="0"/>
                          <w:marBottom w:val="0"/>
                          <w:divBdr>
                            <w:top w:val="none" w:sz="0" w:space="0" w:color="auto"/>
                            <w:left w:val="none" w:sz="0" w:space="0" w:color="auto"/>
                            <w:bottom w:val="none" w:sz="0" w:space="0" w:color="auto"/>
                            <w:right w:val="none" w:sz="0" w:space="0" w:color="auto"/>
                          </w:divBdr>
                          <w:divsChild>
                            <w:div w:id="1553542441">
                              <w:marLeft w:val="0"/>
                              <w:marRight w:val="0"/>
                              <w:marTop w:val="0"/>
                              <w:marBottom w:val="0"/>
                              <w:divBdr>
                                <w:top w:val="none" w:sz="0" w:space="0" w:color="auto"/>
                                <w:left w:val="none" w:sz="0" w:space="0" w:color="auto"/>
                                <w:bottom w:val="none" w:sz="0" w:space="0" w:color="auto"/>
                                <w:right w:val="none" w:sz="0" w:space="0" w:color="auto"/>
                              </w:divBdr>
                              <w:divsChild>
                                <w:div w:id="20447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243235">
      <w:bodyDiv w:val="1"/>
      <w:marLeft w:val="0"/>
      <w:marRight w:val="0"/>
      <w:marTop w:val="0"/>
      <w:marBottom w:val="0"/>
      <w:divBdr>
        <w:top w:val="none" w:sz="0" w:space="0" w:color="auto"/>
        <w:left w:val="none" w:sz="0" w:space="0" w:color="auto"/>
        <w:bottom w:val="none" w:sz="0" w:space="0" w:color="auto"/>
        <w:right w:val="none" w:sz="0" w:space="0" w:color="auto"/>
      </w:divBdr>
      <w:divsChild>
        <w:div w:id="936256480">
          <w:marLeft w:val="0"/>
          <w:marRight w:val="0"/>
          <w:marTop w:val="0"/>
          <w:marBottom w:val="0"/>
          <w:divBdr>
            <w:top w:val="none" w:sz="0" w:space="0" w:color="auto"/>
            <w:left w:val="none" w:sz="0" w:space="0" w:color="auto"/>
            <w:bottom w:val="none" w:sz="0" w:space="0" w:color="auto"/>
            <w:right w:val="none" w:sz="0" w:space="0" w:color="auto"/>
          </w:divBdr>
          <w:divsChild>
            <w:div w:id="1450277958">
              <w:marLeft w:val="0"/>
              <w:marRight w:val="0"/>
              <w:marTop w:val="0"/>
              <w:marBottom w:val="0"/>
              <w:divBdr>
                <w:top w:val="none" w:sz="0" w:space="0" w:color="auto"/>
                <w:left w:val="none" w:sz="0" w:space="0" w:color="auto"/>
                <w:bottom w:val="none" w:sz="0" w:space="0" w:color="auto"/>
                <w:right w:val="none" w:sz="0" w:space="0" w:color="auto"/>
              </w:divBdr>
              <w:divsChild>
                <w:div w:id="2125684284">
                  <w:marLeft w:val="0"/>
                  <w:marRight w:val="0"/>
                  <w:marTop w:val="0"/>
                  <w:marBottom w:val="0"/>
                  <w:divBdr>
                    <w:top w:val="none" w:sz="0" w:space="0" w:color="auto"/>
                    <w:left w:val="none" w:sz="0" w:space="0" w:color="auto"/>
                    <w:bottom w:val="none" w:sz="0" w:space="0" w:color="auto"/>
                    <w:right w:val="none" w:sz="0" w:space="0" w:color="auto"/>
                  </w:divBdr>
                  <w:divsChild>
                    <w:div w:id="1214924888">
                      <w:marLeft w:val="0"/>
                      <w:marRight w:val="0"/>
                      <w:marTop w:val="0"/>
                      <w:marBottom w:val="0"/>
                      <w:divBdr>
                        <w:top w:val="none" w:sz="0" w:space="0" w:color="auto"/>
                        <w:left w:val="none" w:sz="0" w:space="0" w:color="auto"/>
                        <w:bottom w:val="none" w:sz="0" w:space="0" w:color="auto"/>
                        <w:right w:val="none" w:sz="0" w:space="0" w:color="auto"/>
                      </w:divBdr>
                      <w:divsChild>
                        <w:div w:id="303002637">
                          <w:marLeft w:val="0"/>
                          <w:marRight w:val="0"/>
                          <w:marTop w:val="0"/>
                          <w:marBottom w:val="0"/>
                          <w:divBdr>
                            <w:top w:val="none" w:sz="0" w:space="0" w:color="auto"/>
                            <w:left w:val="none" w:sz="0" w:space="0" w:color="auto"/>
                            <w:bottom w:val="none" w:sz="0" w:space="0" w:color="auto"/>
                            <w:right w:val="none" w:sz="0" w:space="0" w:color="auto"/>
                          </w:divBdr>
                          <w:divsChild>
                            <w:div w:id="1372026949">
                              <w:marLeft w:val="0"/>
                              <w:marRight w:val="0"/>
                              <w:marTop w:val="0"/>
                              <w:marBottom w:val="0"/>
                              <w:divBdr>
                                <w:top w:val="none" w:sz="0" w:space="0" w:color="auto"/>
                                <w:left w:val="none" w:sz="0" w:space="0" w:color="auto"/>
                                <w:bottom w:val="none" w:sz="0" w:space="0" w:color="auto"/>
                                <w:right w:val="none" w:sz="0" w:space="0" w:color="auto"/>
                              </w:divBdr>
                              <w:divsChild>
                                <w:div w:id="527526608">
                                  <w:marLeft w:val="0"/>
                                  <w:marRight w:val="0"/>
                                  <w:marTop w:val="0"/>
                                  <w:marBottom w:val="0"/>
                                  <w:divBdr>
                                    <w:top w:val="none" w:sz="0" w:space="0" w:color="auto"/>
                                    <w:left w:val="none" w:sz="0" w:space="0" w:color="auto"/>
                                    <w:bottom w:val="none" w:sz="0" w:space="0" w:color="auto"/>
                                    <w:right w:val="none" w:sz="0" w:space="0" w:color="auto"/>
                                  </w:divBdr>
                                  <w:divsChild>
                                    <w:div w:id="1423721067">
                                      <w:marLeft w:val="0"/>
                                      <w:marRight w:val="0"/>
                                      <w:marTop w:val="75"/>
                                      <w:marBottom w:val="75"/>
                                      <w:divBdr>
                                        <w:top w:val="none" w:sz="0" w:space="0" w:color="auto"/>
                                        <w:left w:val="none" w:sz="0" w:space="0" w:color="auto"/>
                                        <w:bottom w:val="none" w:sz="0" w:space="0" w:color="auto"/>
                                        <w:right w:val="none" w:sz="0" w:space="0" w:color="auto"/>
                                      </w:divBdr>
                                      <w:divsChild>
                                        <w:div w:id="789324853">
                                          <w:marLeft w:val="0"/>
                                          <w:marRight w:val="0"/>
                                          <w:marTop w:val="0"/>
                                          <w:marBottom w:val="0"/>
                                          <w:divBdr>
                                            <w:top w:val="none" w:sz="0" w:space="0" w:color="auto"/>
                                            <w:left w:val="none" w:sz="0" w:space="0" w:color="auto"/>
                                            <w:bottom w:val="none" w:sz="0" w:space="0" w:color="auto"/>
                                            <w:right w:val="none" w:sz="0" w:space="0" w:color="auto"/>
                                          </w:divBdr>
                                        </w:div>
                                        <w:div w:id="616720478">
                                          <w:marLeft w:val="0"/>
                                          <w:marRight w:val="0"/>
                                          <w:marTop w:val="0"/>
                                          <w:marBottom w:val="0"/>
                                          <w:divBdr>
                                            <w:top w:val="none" w:sz="0" w:space="0" w:color="auto"/>
                                            <w:left w:val="none" w:sz="0" w:space="0" w:color="auto"/>
                                            <w:bottom w:val="none" w:sz="0" w:space="0" w:color="auto"/>
                                            <w:right w:val="none" w:sz="0" w:space="0" w:color="auto"/>
                                          </w:divBdr>
                                        </w:div>
                                        <w:div w:id="275718248">
                                          <w:marLeft w:val="0"/>
                                          <w:marRight w:val="0"/>
                                          <w:marTop w:val="0"/>
                                          <w:marBottom w:val="0"/>
                                          <w:divBdr>
                                            <w:top w:val="none" w:sz="0" w:space="0" w:color="auto"/>
                                            <w:left w:val="none" w:sz="0" w:space="0" w:color="auto"/>
                                            <w:bottom w:val="none" w:sz="0" w:space="0" w:color="auto"/>
                                            <w:right w:val="none" w:sz="0" w:space="0" w:color="auto"/>
                                          </w:divBdr>
                                        </w:div>
                                        <w:div w:id="11382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FDB8-8612-4D53-B3BA-C0970F2F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1433</Words>
  <Characters>7887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Justice</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rdoyle</dc:creator>
  <cp:keywords/>
  <dc:description/>
  <cp:lastModifiedBy>Gérard</cp:lastModifiedBy>
  <cp:revision>2</cp:revision>
  <cp:lastPrinted>2017-06-23T15:00:00Z</cp:lastPrinted>
  <dcterms:created xsi:type="dcterms:W3CDTF">2017-06-27T15:33:00Z</dcterms:created>
  <dcterms:modified xsi:type="dcterms:W3CDTF">2017-06-27T15:33:00Z</dcterms:modified>
</cp:coreProperties>
</file>