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71" w:rsidRPr="00C65846" w:rsidRDefault="00291171" w:rsidP="00291171">
      <w:pPr>
        <w:pStyle w:val="BodyText"/>
        <w:jc w:val="center"/>
        <w:rPr>
          <w:b/>
          <w:smallCaps/>
          <w:sz w:val="28"/>
          <w:szCs w:val="28"/>
          <w:lang w:val="fr-CA"/>
        </w:rPr>
      </w:pPr>
      <w:bookmarkStart w:id="0" w:name="_GoBack"/>
      <w:bookmarkEnd w:id="0"/>
      <w:r w:rsidRPr="00C65846">
        <w:rPr>
          <w:b/>
          <w:smallCaps/>
          <w:sz w:val="28"/>
          <w:szCs w:val="28"/>
          <w:lang w:val="fr-CA"/>
        </w:rPr>
        <w:t>Mise à jour des développements récents en litige commercial</w:t>
      </w:r>
      <w:r w:rsidR="00BC1C7B" w:rsidRPr="00C65846">
        <w:rPr>
          <w:b/>
          <w:smallCaps/>
          <w:sz w:val="28"/>
          <w:szCs w:val="28"/>
          <w:lang w:val="fr-CA"/>
        </w:rPr>
        <w:br/>
      </w:r>
      <w:r w:rsidR="00BC1C7B" w:rsidRPr="00C65846">
        <w:rPr>
          <w:b/>
          <w:smallCaps/>
          <w:sz w:val="28"/>
          <w:szCs w:val="28"/>
          <w:lang w:val="fr-CA"/>
        </w:rPr>
        <w:br/>
      </w:r>
      <w:r w:rsidR="00BC1C7B" w:rsidRPr="00C65846">
        <w:rPr>
          <w:b/>
          <w:szCs w:val="24"/>
          <w:lang w:val="fr-CA"/>
        </w:rPr>
        <w:t>Marie-Andrée Vermette</w:t>
      </w:r>
      <w:r w:rsidR="00BC1C7B" w:rsidRPr="00C65846">
        <w:rPr>
          <w:b/>
          <w:smallCaps/>
          <w:szCs w:val="24"/>
          <w:lang w:val="fr-CA"/>
        </w:rPr>
        <w:br/>
      </w:r>
      <w:r w:rsidR="00BC1C7B" w:rsidRPr="00C65846">
        <w:rPr>
          <w:b/>
          <w:szCs w:val="24"/>
          <w:lang w:val="fr-CA"/>
        </w:rPr>
        <w:t>WeirFoulds</w:t>
      </w:r>
      <w:r w:rsidR="00BC1C7B" w:rsidRPr="00C65846">
        <w:rPr>
          <w:b/>
          <w:smallCaps/>
          <w:szCs w:val="24"/>
          <w:lang w:val="fr-CA"/>
        </w:rPr>
        <w:t xml:space="preserve"> LLP</w:t>
      </w:r>
      <w:r w:rsidRPr="00C65846">
        <w:rPr>
          <w:b/>
          <w:smallCaps/>
          <w:sz w:val="28"/>
          <w:szCs w:val="28"/>
          <w:lang w:val="fr-CA"/>
        </w:rPr>
        <w:br/>
      </w:r>
    </w:p>
    <w:p w:rsidR="001B6066" w:rsidRPr="00C65846" w:rsidRDefault="00E4392C" w:rsidP="00B13F52">
      <w:pPr>
        <w:pStyle w:val="BodyText"/>
        <w:rPr>
          <w:lang w:val="fr-CA"/>
        </w:rPr>
      </w:pPr>
      <w:r w:rsidRPr="00C65846">
        <w:rPr>
          <w:lang w:val="fr-CA"/>
        </w:rPr>
        <w:t>Pour ma mise à jour des développe</w:t>
      </w:r>
      <w:r w:rsidR="00504175" w:rsidRPr="00C65846">
        <w:rPr>
          <w:lang w:val="fr-CA"/>
        </w:rPr>
        <w:t xml:space="preserve">ments récents </w:t>
      </w:r>
      <w:r w:rsidR="00291171" w:rsidRPr="00C65846">
        <w:rPr>
          <w:lang w:val="fr-CA"/>
        </w:rPr>
        <w:t>en</w:t>
      </w:r>
      <w:r w:rsidRPr="00C65846">
        <w:rPr>
          <w:lang w:val="fr-CA"/>
        </w:rPr>
        <w:t xml:space="preserve"> litige commercial, j</w:t>
      </w:r>
      <w:r w:rsidR="008C5741" w:rsidRPr="00C65846">
        <w:rPr>
          <w:lang w:val="fr-CA"/>
        </w:rPr>
        <w:t xml:space="preserve">e vais vous parler </w:t>
      </w:r>
      <w:r w:rsidR="001320D9" w:rsidRPr="00C65846">
        <w:rPr>
          <w:lang w:val="fr-CA"/>
        </w:rPr>
        <w:t>d</w:t>
      </w:r>
      <w:r w:rsidR="008C5741" w:rsidRPr="00C65846">
        <w:rPr>
          <w:lang w:val="fr-CA"/>
        </w:rPr>
        <w:t xml:space="preserve">’une </w:t>
      </w:r>
      <w:r w:rsidR="004B09F5" w:rsidRPr="00C65846">
        <w:rPr>
          <w:lang w:val="fr-CA"/>
        </w:rPr>
        <w:t>dé</w:t>
      </w:r>
      <w:r w:rsidR="008C5741" w:rsidRPr="00C65846">
        <w:rPr>
          <w:lang w:val="fr-CA"/>
        </w:rPr>
        <w:t xml:space="preserve">cision récente </w:t>
      </w:r>
      <w:r w:rsidR="004B09F5" w:rsidRPr="00C65846">
        <w:rPr>
          <w:lang w:val="fr-CA"/>
        </w:rPr>
        <w:t>sur la question de l’admissibilité de la pr</w:t>
      </w:r>
      <w:r w:rsidR="00565B32" w:rsidRPr="00C65846">
        <w:rPr>
          <w:lang w:val="fr-CA"/>
        </w:rPr>
        <w:t>euve d’</w:t>
      </w:r>
      <w:r w:rsidR="004177FB" w:rsidRPr="00C65846">
        <w:rPr>
          <w:lang w:val="fr-CA"/>
        </w:rPr>
        <w:t>expert</w:t>
      </w:r>
      <w:r w:rsidR="007E71D7" w:rsidRPr="00C65846">
        <w:rPr>
          <w:lang w:val="fr-CA"/>
        </w:rPr>
        <w:t xml:space="preserve">.  Il s’agit de </w:t>
      </w:r>
      <w:r w:rsidR="00791037" w:rsidRPr="00C65846">
        <w:rPr>
          <w:lang w:val="fr-CA"/>
        </w:rPr>
        <w:t>l’arrêt</w:t>
      </w:r>
      <w:r w:rsidR="006906D5" w:rsidRPr="00C65846">
        <w:rPr>
          <w:lang w:val="fr-CA"/>
        </w:rPr>
        <w:t xml:space="preserve"> </w:t>
      </w:r>
      <w:r w:rsidR="006906D5" w:rsidRPr="00C65846">
        <w:rPr>
          <w:i/>
          <w:lang w:val="fr-CA"/>
        </w:rPr>
        <w:t>White Burgess Langille Inman c Abbott and Haliburton Co.</w:t>
      </w:r>
      <w:r w:rsidR="006906D5" w:rsidRPr="00C65846">
        <w:rPr>
          <w:lang w:val="fr-CA"/>
        </w:rPr>
        <w:t xml:space="preserve"> </w:t>
      </w:r>
      <w:r w:rsidR="007E71D7" w:rsidRPr="00C65846">
        <w:rPr>
          <w:lang w:val="fr-CA"/>
        </w:rPr>
        <w:t>de la Cour suprême du Canada</w:t>
      </w:r>
      <w:r w:rsidR="00C87EA1" w:rsidRPr="00C65846">
        <w:rPr>
          <w:lang w:val="fr-CA"/>
        </w:rPr>
        <w:t>, une dé</w:t>
      </w:r>
      <w:r w:rsidR="00492C41" w:rsidRPr="00C65846">
        <w:rPr>
          <w:lang w:val="fr-CA"/>
        </w:rPr>
        <w:t>cision rendue</w:t>
      </w:r>
      <w:r w:rsidR="00791037" w:rsidRPr="00C65846">
        <w:rPr>
          <w:lang w:val="fr-CA"/>
        </w:rPr>
        <w:t xml:space="preserve"> le</w:t>
      </w:r>
      <w:r w:rsidR="007E71D7" w:rsidRPr="00C65846">
        <w:rPr>
          <w:lang w:val="fr-CA"/>
        </w:rPr>
        <w:t xml:space="preserve"> </w:t>
      </w:r>
      <w:r w:rsidR="006906D5" w:rsidRPr="00C65846">
        <w:rPr>
          <w:lang w:val="fr-CA"/>
        </w:rPr>
        <w:t xml:space="preserve">30 avril </w:t>
      </w:r>
      <w:r w:rsidR="00791037" w:rsidRPr="00C65846">
        <w:rPr>
          <w:lang w:val="fr-CA"/>
        </w:rPr>
        <w:t>dernier.</w:t>
      </w:r>
      <w:r w:rsidR="004177FB" w:rsidRPr="00C65846">
        <w:rPr>
          <w:lang w:val="fr-CA"/>
        </w:rPr>
        <w:t xml:space="preserve">  </w:t>
      </w:r>
      <w:r w:rsidR="006E6251" w:rsidRPr="00C65846">
        <w:rPr>
          <w:lang w:val="fr-CA"/>
        </w:rPr>
        <w:t xml:space="preserve">La preuve d’expert joue souvent un rôle très important </w:t>
      </w:r>
      <w:r w:rsidR="00B8089B" w:rsidRPr="00C65846">
        <w:rPr>
          <w:lang w:val="fr-CA"/>
        </w:rPr>
        <w:t>en litige c</w:t>
      </w:r>
      <w:r w:rsidR="00917F03" w:rsidRPr="00C65846">
        <w:rPr>
          <w:lang w:val="fr-CA"/>
        </w:rPr>
        <w:t>ommercial, mais, bien</w:t>
      </w:r>
      <w:r w:rsidR="009A51B1" w:rsidRPr="00C65846">
        <w:rPr>
          <w:lang w:val="fr-CA"/>
        </w:rPr>
        <w:t xml:space="preserve"> entendu</w:t>
      </w:r>
      <w:r w:rsidR="00917F03" w:rsidRPr="00C65846">
        <w:rPr>
          <w:lang w:val="fr-CA"/>
        </w:rPr>
        <w:t>,</w:t>
      </w:r>
      <w:r w:rsidR="009A51B1" w:rsidRPr="00C65846">
        <w:rPr>
          <w:lang w:val="fr-CA"/>
        </w:rPr>
        <w:t xml:space="preserve"> </w:t>
      </w:r>
      <w:r w:rsidR="006E6251" w:rsidRPr="00C65846">
        <w:rPr>
          <w:lang w:val="fr-CA"/>
        </w:rPr>
        <w:t>l</w:t>
      </w:r>
      <w:r w:rsidR="00F30A6A" w:rsidRPr="00C65846">
        <w:rPr>
          <w:lang w:val="fr-CA"/>
        </w:rPr>
        <w:t xml:space="preserve">a </w:t>
      </w:r>
      <w:r w:rsidR="00496765" w:rsidRPr="00C65846">
        <w:rPr>
          <w:lang w:val="fr-CA"/>
        </w:rPr>
        <w:t>pertinence d</w:t>
      </w:r>
      <w:r w:rsidR="006E6251" w:rsidRPr="00C65846">
        <w:rPr>
          <w:lang w:val="fr-CA"/>
        </w:rPr>
        <w:t>e cette</w:t>
      </w:r>
      <w:r w:rsidR="00147092" w:rsidRPr="00C65846">
        <w:rPr>
          <w:lang w:val="fr-CA"/>
        </w:rPr>
        <w:t xml:space="preserve"> décision </w:t>
      </w:r>
      <w:r w:rsidR="00496765" w:rsidRPr="00C65846">
        <w:rPr>
          <w:lang w:val="fr-CA"/>
        </w:rPr>
        <w:t>ne se limite pas au litige commercial.</w:t>
      </w:r>
      <w:r w:rsidR="00147092" w:rsidRPr="00C65846">
        <w:rPr>
          <w:lang w:val="fr-CA"/>
        </w:rPr>
        <w:t xml:space="preserve">  </w:t>
      </w:r>
    </w:p>
    <w:p w:rsidR="00897392" w:rsidRPr="00C65846" w:rsidRDefault="006906D5" w:rsidP="00897392">
      <w:pPr>
        <w:pStyle w:val="BodyText"/>
        <w:rPr>
          <w:lang w:val="fr-CA"/>
        </w:rPr>
      </w:pPr>
      <w:r w:rsidRPr="00C65846">
        <w:rPr>
          <w:lang w:val="fr-CA"/>
        </w:rPr>
        <w:t xml:space="preserve">La question à trancher dans </w:t>
      </w:r>
      <w:r w:rsidRPr="00C65846">
        <w:rPr>
          <w:i/>
          <w:lang w:val="fr-CA"/>
        </w:rPr>
        <w:t>White Burgess</w:t>
      </w:r>
      <w:r w:rsidR="001B6737" w:rsidRPr="00C65846">
        <w:rPr>
          <w:lang w:val="fr-CA"/>
        </w:rPr>
        <w:t xml:space="preserve"> était de savoir si l’indépendance et l’impartialité d’un expert </w:t>
      </w:r>
      <w:r w:rsidR="00E5496B" w:rsidRPr="00C65846">
        <w:rPr>
          <w:lang w:val="fr-CA"/>
        </w:rPr>
        <w:t>compt</w:t>
      </w:r>
      <w:r w:rsidR="004926CC" w:rsidRPr="00C65846">
        <w:rPr>
          <w:lang w:val="fr-CA"/>
        </w:rPr>
        <w:t>ai</w:t>
      </w:r>
      <w:r w:rsidR="00E5496B" w:rsidRPr="00C65846">
        <w:rPr>
          <w:lang w:val="fr-CA"/>
        </w:rPr>
        <w:t xml:space="preserve">ent au nombre des normes fondamentales d’admissibilité du témoignage d’expert. </w:t>
      </w:r>
      <w:r w:rsidR="002A2B6F" w:rsidRPr="00C65846">
        <w:rPr>
          <w:lang w:val="fr-CA"/>
        </w:rPr>
        <w:t>La Cour suprême s’est dit d’</w:t>
      </w:r>
      <w:r w:rsidR="00231563" w:rsidRPr="00C65846">
        <w:rPr>
          <w:lang w:val="fr-CA"/>
        </w:rPr>
        <w:t>avis que oui et</w:t>
      </w:r>
      <w:r w:rsidR="002A2B6F" w:rsidRPr="00C65846">
        <w:rPr>
          <w:lang w:val="fr-CA"/>
        </w:rPr>
        <w:t xml:space="preserve"> </w:t>
      </w:r>
      <w:r w:rsidR="00BD37B7" w:rsidRPr="00C65846">
        <w:rPr>
          <w:lang w:val="fr-CA"/>
        </w:rPr>
        <w:t xml:space="preserve">a clarifié </w:t>
      </w:r>
      <w:r w:rsidR="00835D04" w:rsidRPr="00C65846">
        <w:rPr>
          <w:lang w:val="fr-CA"/>
        </w:rPr>
        <w:t xml:space="preserve">le critère qui devait être satisfait </w:t>
      </w:r>
      <w:r w:rsidR="00BD37B7" w:rsidRPr="00C65846">
        <w:rPr>
          <w:lang w:val="fr-CA"/>
        </w:rPr>
        <w:t>à cet égard.</w:t>
      </w:r>
    </w:p>
    <w:p w:rsidR="00116EBC" w:rsidRPr="00C65846" w:rsidRDefault="0073131D" w:rsidP="00897392">
      <w:pPr>
        <w:pStyle w:val="BodyText"/>
        <w:rPr>
          <w:lang w:val="fr-CA"/>
        </w:rPr>
      </w:pPr>
      <w:r w:rsidRPr="00C65846">
        <w:rPr>
          <w:lang w:val="fr-CA"/>
        </w:rPr>
        <w:t xml:space="preserve">Selon la Cour </w:t>
      </w:r>
      <w:r w:rsidR="00551362" w:rsidRPr="00C65846">
        <w:rPr>
          <w:lang w:val="fr-CA"/>
        </w:rPr>
        <w:t>suprê</w:t>
      </w:r>
      <w:r w:rsidRPr="00C65846">
        <w:rPr>
          <w:lang w:val="fr-CA"/>
        </w:rPr>
        <w:t xml:space="preserve">me, </w:t>
      </w:r>
      <w:r w:rsidR="00E328BA" w:rsidRPr="00C65846">
        <w:rPr>
          <w:lang w:val="fr-CA"/>
        </w:rPr>
        <w:t xml:space="preserve">le manque d’indépendance et d’impartialité d’un expert a une incidence non seulement sur </w:t>
      </w:r>
      <w:r w:rsidR="00551362" w:rsidRPr="00C65846">
        <w:rPr>
          <w:lang w:val="fr-CA"/>
        </w:rPr>
        <w:t>la valeur</w:t>
      </w:r>
      <w:r w:rsidR="00390493" w:rsidRPr="00C65846">
        <w:rPr>
          <w:lang w:val="fr-CA"/>
        </w:rPr>
        <w:t xml:space="preserve"> probante du témoignage, mais </w:t>
      </w:r>
      <w:r w:rsidR="00B36ABB" w:rsidRPr="00C65846">
        <w:rPr>
          <w:lang w:val="fr-CA"/>
        </w:rPr>
        <w:t xml:space="preserve">aussi sur son </w:t>
      </w:r>
      <w:r w:rsidR="008C33A9" w:rsidRPr="00C65846">
        <w:rPr>
          <w:lang w:val="fr-CA"/>
        </w:rPr>
        <w:t xml:space="preserve">admissibilité.  </w:t>
      </w:r>
      <w:r w:rsidR="003E1F97" w:rsidRPr="00C65846">
        <w:rPr>
          <w:lang w:val="fr-CA"/>
        </w:rPr>
        <w:t>L</w:t>
      </w:r>
      <w:r w:rsidR="00223D37" w:rsidRPr="00C65846">
        <w:rPr>
          <w:lang w:val="fr-CA"/>
        </w:rPr>
        <w:t xml:space="preserve">e critère d’admissibilité établi par la Cour suprême </w:t>
      </w:r>
      <w:r w:rsidR="00BB20B7" w:rsidRPr="00C65846">
        <w:rPr>
          <w:lang w:val="fr-CA"/>
        </w:rPr>
        <w:t xml:space="preserve">à cet égard </w:t>
      </w:r>
      <w:r w:rsidR="003E1F97" w:rsidRPr="00C65846">
        <w:rPr>
          <w:lang w:val="fr-CA"/>
        </w:rPr>
        <w:t>est</w:t>
      </w:r>
      <w:r w:rsidR="000337B9" w:rsidRPr="00C65846">
        <w:rPr>
          <w:lang w:val="fr-CA"/>
        </w:rPr>
        <w:t xml:space="preserve"> toutefois </w:t>
      </w:r>
      <w:r w:rsidR="00223D37" w:rsidRPr="00C65846">
        <w:rPr>
          <w:lang w:val="fr-CA"/>
        </w:rPr>
        <w:t>peu exigeant.</w:t>
      </w:r>
      <w:r w:rsidR="00C31481" w:rsidRPr="00C65846">
        <w:rPr>
          <w:lang w:val="fr-CA"/>
        </w:rPr>
        <w:t xml:space="preserve">  Il s’agit </w:t>
      </w:r>
      <w:r w:rsidR="003E1F97" w:rsidRPr="00C65846">
        <w:rPr>
          <w:lang w:val="fr-CA"/>
        </w:rPr>
        <w:t xml:space="preserve">de </w:t>
      </w:r>
      <w:r w:rsidR="00A06027" w:rsidRPr="00C65846">
        <w:rPr>
          <w:lang w:val="fr-CA"/>
        </w:rPr>
        <w:t>dé</w:t>
      </w:r>
      <w:r w:rsidR="00075CDB" w:rsidRPr="00C65846">
        <w:rPr>
          <w:lang w:val="fr-CA"/>
        </w:rPr>
        <w:t xml:space="preserve">terminer </w:t>
      </w:r>
      <w:r w:rsidR="00B13015" w:rsidRPr="00C65846">
        <w:rPr>
          <w:lang w:val="fr-CA"/>
        </w:rPr>
        <w:t>si le témoin expert peut et</w:t>
      </w:r>
      <w:r w:rsidR="003E1F97" w:rsidRPr="00C65846">
        <w:rPr>
          <w:lang w:val="fr-CA"/>
        </w:rPr>
        <w:t xml:space="preserve"> veut s’acquitter de son obligation envers le tribunal </w:t>
      </w:r>
      <w:r w:rsidR="00BB20B7" w:rsidRPr="00C65846">
        <w:rPr>
          <w:lang w:val="fr-CA"/>
        </w:rPr>
        <w:t>d’être juste, objectif et impartial.</w:t>
      </w:r>
      <w:r w:rsidR="00FA4A0E" w:rsidRPr="00C65846">
        <w:rPr>
          <w:lang w:val="fr-CA"/>
        </w:rPr>
        <w:t xml:space="preserve">  </w:t>
      </w:r>
      <w:r w:rsidR="00116EBC" w:rsidRPr="00C65846">
        <w:rPr>
          <w:lang w:val="fr-CA"/>
        </w:rPr>
        <w:t xml:space="preserve">L’examen de ce </w:t>
      </w:r>
      <w:r w:rsidR="00917F03" w:rsidRPr="00C65846">
        <w:rPr>
          <w:lang w:val="fr-CA"/>
        </w:rPr>
        <w:t xml:space="preserve">nouveau </w:t>
      </w:r>
      <w:r w:rsidR="00116EBC" w:rsidRPr="00C65846">
        <w:rPr>
          <w:lang w:val="fr-CA"/>
        </w:rPr>
        <w:t xml:space="preserve">critère doit maintenant se faire à la première étape du cadre analytique établi par l’arrêt </w:t>
      </w:r>
      <w:r w:rsidR="00116EBC" w:rsidRPr="00C65846">
        <w:rPr>
          <w:i/>
          <w:lang w:val="fr-CA"/>
        </w:rPr>
        <w:t>Mohan</w:t>
      </w:r>
      <w:r w:rsidR="00116EBC" w:rsidRPr="00C65846">
        <w:rPr>
          <w:lang w:val="fr-CA"/>
        </w:rPr>
        <w:t xml:space="preserve"> concernant l’admissibilité du témoignage d’expert </w:t>
      </w:r>
      <w:r w:rsidR="009B358B" w:rsidRPr="00C65846">
        <w:rPr>
          <w:lang w:val="fr-CA"/>
        </w:rPr>
        <w:t>dans le cadre</w:t>
      </w:r>
      <w:r w:rsidR="00116EBC" w:rsidRPr="00C65846">
        <w:rPr>
          <w:lang w:val="fr-CA"/>
        </w:rPr>
        <w:t xml:space="preserve"> du volet “qualification suffisante de l’expert”.</w:t>
      </w:r>
    </w:p>
    <w:p w:rsidR="007431AC" w:rsidRPr="00C65846" w:rsidRDefault="002358C2" w:rsidP="00897392">
      <w:pPr>
        <w:pStyle w:val="BodyText"/>
        <w:rPr>
          <w:lang w:val="fr-CA"/>
        </w:rPr>
      </w:pPr>
      <w:r w:rsidRPr="00C65846">
        <w:rPr>
          <w:lang w:val="fr-CA"/>
        </w:rPr>
        <w:t xml:space="preserve">La Cour suprême a aussi expliqué le fardeau de la </w:t>
      </w:r>
      <w:r w:rsidR="00E07D66" w:rsidRPr="00C65846">
        <w:rPr>
          <w:lang w:val="fr-CA"/>
        </w:rPr>
        <w:t>pre</w:t>
      </w:r>
      <w:r w:rsidRPr="00C65846">
        <w:rPr>
          <w:lang w:val="fr-CA"/>
        </w:rPr>
        <w:t>u</w:t>
      </w:r>
      <w:r w:rsidR="00E07D66" w:rsidRPr="00C65846">
        <w:rPr>
          <w:lang w:val="fr-CA"/>
        </w:rPr>
        <w:t>v</w:t>
      </w:r>
      <w:r w:rsidRPr="00C65846">
        <w:rPr>
          <w:lang w:val="fr-CA"/>
        </w:rPr>
        <w:t>e qui s’applique à c</w:t>
      </w:r>
      <w:r w:rsidR="00BE61C2" w:rsidRPr="00C65846">
        <w:rPr>
          <w:lang w:val="fr-CA"/>
        </w:rPr>
        <w:t xml:space="preserve">e </w:t>
      </w:r>
      <w:r w:rsidR="00116EBC" w:rsidRPr="00C65846">
        <w:rPr>
          <w:lang w:val="fr-CA"/>
        </w:rPr>
        <w:t xml:space="preserve">nouveau </w:t>
      </w:r>
      <w:r w:rsidR="00BE61C2" w:rsidRPr="00C65846">
        <w:rPr>
          <w:lang w:val="fr-CA"/>
        </w:rPr>
        <w:t>critère</w:t>
      </w:r>
      <w:r w:rsidRPr="00C65846">
        <w:rPr>
          <w:lang w:val="fr-CA"/>
        </w:rPr>
        <w:t>.  Le critère</w:t>
      </w:r>
      <w:r w:rsidR="00BE61C2" w:rsidRPr="00C65846">
        <w:rPr>
          <w:lang w:val="fr-CA"/>
        </w:rPr>
        <w:t xml:space="preserve"> est </w:t>
      </w:r>
      <w:r w:rsidRPr="00C65846">
        <w:rPr>
          <w:lang w:val="fr-CA"/>
        </w:rPr>
        <w:t>généralement satisfait lors</w:t>
      </w:r>
      <w:r w:rsidR="00BE61C2" w:rsidRPr="00C65846">
        <w:rPr>
          <w:lang w:val="fr-CA"/>
        </w:rPr>
        <w:t>que l’expert reconnaît et accepte dans son attestation ou sa déposition son obligation envers le tribunal</w:t>
      </w:r>
      <w:r w:rsidR="009B358B" w:rsidRPr="00C65846">
        <w:rPr>
          <w:lang w:val="fr-CA"/>
        </w:rPr>
        <w:t xml:space="preserve"> d’être juste, objectif et impartial</w:t>
      </w:r>
      <w:r w:rsidR="00116EBC" w:rsidRPr="00C65846">
        <w:rPr>
          <w:lang w:val="fr-CA"/>
        </w:rPr>
        <w:t>, à moins que la partie qui s’oppose à l’admission du témoignage démontre un motif réaliste que l’expert ne peut ou ne veut s’acqui</w:t>
      </w:r>
      <w:r w:rsidR="009B358B" w:rsidRPr="00C65846">
        <w:rPr>
          <w:lang w:val="fr-CA"/>
        </w:rPr>
        <w:t>tter de cette obligation</w:t>
      </w:r>
      <w:r w:rsidR="00116EBC" w:rsidRPr="00C65846">
        <w:rPr>
          <w:lang w:val="fr-CA"/>
        </w:rPr>
        <w:t>.  Si un tel motif réaliste est démontré, alors la partie qui entend présenter le témoignage d’expert doit démontrer selon la préponderance des probabilités que le critère d’admissibilité est satisfait</w:t>
      </w:r>
      <w:r w:rsidR="00BE61C2" w:rsidRPr="00C65846">
        <w:rPr>
          <w:lang w:val="fr-CA"/>
        </w:rPr>
        <w:t xml:space="preserve">.  </w:t>
      </w:r>
      <w:r w:rsidR="00C31481" w:rsidRPr="00C65846">
        <w:rPr>
          <w:lang w:val="fr-CA"/>
        </w:rPr>
        <w:t xml:space="preserve">  </w:t>
      </w:r>
      <w:r w:rsidR="000E310A" w:rsidRPr="00C65846">
        <w:rPr>
          <w:lang w:val="fr-CA"/>
        </w:rPr>
        <w:t xml:space="preserve">  </w:t>
      </w:r>
    </w:p>
    <w:p w:rsidR="00DB556F" w:rsidRPr="00C65846" w:rsidRDefault="00393DA2" w:rsidP="00897392">
      <w:pPr>
        <w:pStyle w:val="BodyText"/>
        <w:rPr>
          <w:lang w:val="fr-CA"/>
        </w:rPr>
      </w:pPr>
      <w:r w:rsidRPr="00C65846">
        <w:rPr>
          <w:lang w:val="fr-CA"/>
        </w:rPr>
        <w:t>L</w:t>
      </w:r>
      <w:r w:rsidR="00DB556F" w:rsidRPr="00C65846">
        <w:rPr>
          <w:lang w:val="fr-CA"/>
        </w:rPr>
        <w:t xml:space="preserve">a Cour </w:t>
      </w:r>
      <w:r w:rsidRPr="00C65846">
        <w:rPr>
          <w:lang w:val="fr-CA"/>
        </w:rPr>
        <w:t>suprême est d’avis que</w:t>
      </w:r>
      <w:r w:rsidR="00DB556F" w:rsidRPr="00C65846">
        <w:rPr>
          <w:lang w:val="fr-CA"/>
        </w:rPr>
        <w:t xml:space="preserve"> la notion d’apparence de parti pris n’est pas pertinente lorsqu’il s’agit de déterminer si le témoin e</w:t>
      </w:r>
      <w:r w:rsidR="00DA3F8C" w:rsidRPr="00C65846">
        <w:rPr>
          <w:lang w:val="fr-CA"/>
        </w:rPr>
        <w:t>xpert pourra ou voudra s’</w:t>
      </w:r>
      <w:r w:rsidR="008B6213" w:rsidRPr="00C65846">
        <w:rPr>
          <w:lang w:val="fr-CA"/>
        </w:rPr>
        <w:t>acquitter de son</w:t>
      </w:r>
      <w:r w:rsidR="00DA3F8C" w:rsidRPr="00C65846">
        <w:rPr>
          <w:lang w:val="fr-CA"/>
        </w:rPr>
        <w:t xml:space="preserve"> obligation envers le tribunal.  </w:t>
      </w:r>
      <w:r w:rsidR="009D373F" w:rsidRPr="00C65846">
        <w:rPr>
          <w:lang w:val="fr-CA"/>
        </w:rPr>
        <w:t>On ne doit donc pas se demander ce qu’</w:t>
      </w:r>
      <w:r w:rsidR="008B6213" w:rsidRPr="00C65846">
        <w:rPr>
          <w:lang w:val="fr-CA"/>
        </w:rPr>
        <w:t>un observateur raisonnable penserait</w:t>
      </w:r>
      <w:r w:rsidR="009D373F" w:rsidRPr="00C65846">
        <w:rPr>
          <w:lang w:val="fr-CA"/>
        </w:rPr>
        <w:t xml:space="preserve">.  </w:t>
      </w:r>
      <w:r w:rsidR="00220FE9" w:rsidRPr="00C65846">
        <w:rPr>
          <w:lang w:val="fr-CA"/>
        </w:rPr>
        <w:t xml:space="preserve">Il s’agit plutôt de déterminer si </w:t>
      </w:r>
      <w:r w:rsidR="008A5F26" w:rsidRPr="00C65846">
        <w:rPr>
          <w:lang w:val="fr-CA"/>
        </w:rPr>
        <w:t xml:space="preserve">la nature et le degré de l’intérêt </w:t>
      </w:r>
      <w:r w:rsidR="00B13015" w:rsidRPr="00C65846">
        <w:rPr>
          <w:lang w:val="fr-CA"/>
        </w:rPr>
        <w:t xml:space="preserve">ou des rapports qu’a </w:t>
      </w:r>
      <w:r w:rsidR="008A5F26" w:rsidRPr="00C65846">
        <w:rPr>
          <w:lang w:val="fr-CA"/>
        </w:rPr>
        <w:t xml:space="preserve">l’expert </w:t>
      </w:r>
      <w:r w:rsidR="00B13015" w:rsidRPr="00C65846">
        <w:rPr>
          <w:lang w:val="fr-CA"/>
        </w:rPr>
        <w:t>avec l’instance ou une partie fon</w:t>
      </w:r>
      <w:r w:rsidR="001D4586" w:rsidRPr="00C65846">
        <w:rPr>
          <w:lang w:val="fr-CA"/>
        </w:rPr>
        <w:t xml:space="preserve">t en sorte que </w:t>
      </w:r>
      <w:r w:rsidR="00220FE9" w:rsidRPr="00C65846">
        <w:rPr>
          <w:lang w:val="fr-CA"/>
        </w:rPr>
        <w:t>l</w:t>
      </w:r>
      <w:r w:rsidR="001D4586" w:rsidRPr="00C65846">
        <w:rPr>
          <w:lang w:val="fr-CA"/>
        </w:rPr>
        <w:t>’expert</w:t>
      </w:r>
      <w:r w:rsidR="00220FE9" w:rsidRPr="00C65846">
        <w:rPr>
          <w:lang w:val="fr-CA"/>
        </w:rPr>
        <w:t xml:space="preserve"> ne peut ou ne veut s’</w:t>
      </w:r>
      <w:r w:rsidR="00BF0C8E" w:rsidRPr="00C65846">
        <w:rPr>
          <w:lang w:val="fr-CA"/>
        </w:rPr>
        <w:t>acquitter de son obligation d’apporter au tribunal une aide juste, objective et impartiale.</w:t>
      </w:r>
    </w:p>
    <w:p w:rsidR="00897392" w:rsidRDefault="000E741F" w:rsidP="00B13F52">
      <w:pPr>
        <w:pStyle w:val="BodyText"/>
      </w:pPr>
      <w:r>
        <w:t>Dans ses motifs, l</w:t>
      </w:r>
      <w:r w:rsidR="00005D23">
        <w:t xml:space="preserve">a Cour souligne </w:t>
      </w:r>
      <w:r w:rsidR="00B8709E">
        <w:t>qu’il sera probablement très rare que le témoignage d’un expert soit exclu à</w:t>
      </w:r>
      <w:r w:rsidR="008F2DAC">
        <w:t xml:space="preserve"> la première étape d</w:t>
      </w:r>
      <w:r w:rsidR="00E23837">
        <w:t>u cadre</w:t>
      </w:r>
      <w:r w:rsidR="008F2DAC">
        <w:t xml:space="preserve"> analytique établi dans l’arrêt </w:t>
      </w:r>
      <w:r w:rsidR="008F2DAC">
        <w:rPr>
          <w:i/>
        </w:rPr>
        <w:t>Mohan</w:t>
      </w:r>
      <w:r w:rsidR="001136CB">
        <w:t xml:space="preserve">.  </w:t>
      </w:r>
      <w:r w:rsidR="000B60DA">
        <w:t xml:space="preserve">Cependant, </w:t>
      </w:r>
      <w:r w:rsidR="00964CF2">
        <w:t xml:space="preserve">toute réserve qui demeure quant à savoir si l’expert s’est conformé à son obligation d’indépendance et d’impartialité peut être </w:t>
      </w:r>
      <w:r w:rsidR="004E5AA0">
        <w:t>examiné</w:t>
      </w:r>
      <w:r w:rsidR="00964CF2">
        <w:t xml:space="preserve">e </w:t>
      </w:r>
      <w:r w:rsidR="006B652B">
        <w:t xml:space="preserve">une seconde fois </w:t>
      </w:r>
      <w:r w:rsidR="00DE38A7">
        <w:t xml:space="preserve">à la deuxième étape </w:t>
      </w:r>
      <w:r w:rsidR="00F537F5">
        <w:t xml:space="preserve">de l’analyse </w:t>
      </w:r>
      <w:r w:rsidR="00CA2E36">
        <w:t xml:space="preserve">prévue dans l’arrêt </w:t>
      </w:r>
      <w:r w:rsidR="00CA2E36">
        <w:rPr>
          <w:i/>
        </w:rPr>
        <w:t>Mohan</w:t>
      </w:r>
      <w:r w:rsidR="00CA2E36">
        <w:t xml:space="preserve">.  À cette deuxième étape, </w:t>
      </w:r>
      <w:r w:rsidR="00C90E10">
        <w:t>le</w:t>
      </w:r>
      <w:r w:rsidR="00DE38A7">
        <w:t xml:space="preserve"> </w:t>
      </w:r>
      <w:r w:rsidR="00C90E10">
        <w:t>juge doit</w:t>
      </w:r>
      <w:r w:rsidR="001217B9">
        <w:t xml:space="preserve"> </w:t>
      </w:r>
      <w:r w:rsidR="00B13015">
        <w:t>exercer son pouvoir discrétionnaire en soupesant</w:t>
      </w:r>
      <w:r w:rsidR="001217B9">
        <w:t xml:space="preserve"> les ris</w:t>
      </w:r>
      <w:r w:rsidR="00C90E10">
        <w:t>q</w:t>
      </w:r>
      <w:r w:rsidR="001217B9">
        <w:t>ues et les bénéfices é</w:t>
      </w:r>
      <w:r w:rsidR="00C90E10">
        <w:t>ventuels que présente l’adm</w:t>
      </w:r>
      <w:r w:rsidR="00CA2E36">
        <w:t>ission du témoignage d’expert</w:t>
      </w:r>
      <w:r w:rsidR="00D5096E">
        <w:t>.</w:t>
      </w:r>
      <w:r w:rsidR="00703DE6">
        <w:t xml:space="preserve">  </w:t>
      </w:r>
      <w:r w:rsidR="00D52D92">
        <w:t xml:space="preserve">  </w:t>
      </w:r>
      <w:r w:rsidR="00102811">
        <w:t xml:space="preserve"> </w:t>
      </w:r>
    </w:p>
    <w:p w:rsidR="008B10CE" w:rsidRDefault="00423CBE" w:rsidP="00B13F52">
      <w:pPr>
        <w:pStyle w:val="BodyText"/>
      </w:pPr>
      <w:r>
        <w:lastRenderedPageBreak/>
        <w:t xml:space="preserve">Le </w:t>
      </w:r>
      <w:r w:rsidR="00A423A4">
        <w:t xml:space="preserve">jugement de </w:t>
      </w:r>
      <w:r w:rsidR="00297E2D">
        <w:t>la Cour</w:t>
      </w:r>
      <w:r>
        <w:t xml:space="preserve"> </w:t>
      </w:r>
      <w:r w:rsidR="00A423A4">
        <w:t>suprême dans</w:t>
      </w:r>
      <w:r w:rsidR="00297E2D">
        <w:t xml:space="preserve"> </w:t>
      </w:r>
      <w:r w:rsidR="00297E2D">
        <w:rPr>
          <w:i/>
        </w:rPr>
        <w:t>Mouvement laïque québécois c Ville de Saguenay</w:t>
      </w:r>
      <w:r w:rsidR="00297E2D">
        <w:t xml:space="preserve">, </w:t>
      </w:r>
      <w:r w:rsidR="00A423A4">
        <w:t xml:space="preserve">qui a été rendu deux semaines avant le jugement dans </w:t>
      </w:r>
      <w:r w:rsidR="00A423A4">
        <w:rPr>
          <w:i/>
        </w:rPr>
        <w:t>White Burgess</w:t>
      </w:r>
      <w:r w:rsidR="00D5096E">
        <w:t xml:space="preserve">, démontre que la Cour suprême a placé la barre très bas en ce qui concerne les conditions d’indépendance et d’impartialité des témoins experts.  </w:t>
      </w:r>
      <w:r w:rsidR="00D77956">
        <w:t xml:space="preserve">La question dans </w:t>
      </w:r>
      <w:r w:rsidR="00A423A4">
        <w:rPr>
          <w:i/>
        </w:rPr>
        <w:t>Mouvement laïque québécois</w:t>
      </w:r>
      <w:r w:rsidR="00D77956">
        <w:t xml:space="preserve"> était de savoir si la </w:t>
      </w:r>
      <w:r w:rsidR="00CB6FD6">
        <w:t>ré</w:t>
      </w:r>
      <w:r w:rsidR="00D77956">
        <w:t>citation d’une prière aux séances du conseil</w:t>
      </w:r>
      <w:r w:rsidR="00CB6FD6">
        <w:t xml:space="preserve"> municipal de la Ville de Saguenay</w:t>
      </w:r>
      <w:r w:rsidR="00F96828">
        <w:t xml:space="preserve"> </w:t>
      </w:r>
      <w:r w:rsidR="00FE4358">
        <w:t>constitu</w:t>
      </w:r>
      <w:r w:rsidR="00FA1767">
        <w:t>ait</w:t>
      </w:r>
      <w:r w:rsidR="00FE4358">
        <w:t xml:space="preserve"> une atteinte discriminatoire à la liberté de conscience et de religion d’un </w:t>
      </w:r>
      <w:r w:rsidR="00FA1767">
        <w:t>ré</w:t>
      </w:r>
      <w:r w:rsidR="00FE4358">
        <w:t>sident athée de la Ville de Saguenay.  L</w:t>
      </w:r>
      <w:r w:rsidR="00F96828">
        <w:t xml:space="preserve">’expert </w:t>
      </w:r>
      <w:r w:rsidR="00376C89">
        <w:t xml:space="preserve">dont le témoignage était en cause dans cette affaire </w:t>
      </w:r>
      <w:r w:rsidR="00F96828">
        <w:t xml:space="preserve">était </w:t>
      </w:r>
      <w:r w:rsidR="007B6ABA">
        <w:t xml:space="preserve">cofondateur, </w:t>
      </w:r>
      <w:r w:rsidR="00CA42B2">
        <w:t xml:space="preserve">membre </w:t>
      </w:r>
      <w:r w:rsidR="007B6ABA">
        <w:t xml:space="preserve">et vice-président </w:t>
      </w:r>
      <w:r w:rsidR="00654C82">
        <w:t>de l’appelant</w:t>
      </w:r>
      <w:r w:rsidR="00F96828">
        <w:t xml:space="preserve"> Mouvement laïque québécois</w:t>
      </w:r>
      <w:r w:rsidR="009C6F4B">
        <w:t>.</w:t>
      </w:r>
      <w:r w:rsidR="007B6ABA">
        <w:t xml:space="preserve"> </w:t>
      </w:r>
      <w:r w:rsidR="009C6F4B">
        <w:t xml:space="preserve"> </w:t>
      </w:r>
      <w:r w:rsidR="00F96828">
        <w:t>L’expert se décrivait lui-même comme étant un militant pour la laï</w:t>
      </w:r>
      <w:r w:rsidR="00CA42B2">
        <w:t xml:space="preserve">cité de l’État.  </w:t>
      </w:r>
      <w:r w:rsidR="00664683">
        <w:t xml:space="preserve"> L</w:t>
      </w:r>
      <w:r w:rsidR="006F0F21">
        <w:t>a Cour d’appel du Québec</w:t>
      </w:r>
      <w:r w:rsidR="00664683">
        <w:t xml:space="preserve"> a conclu que</w:t>
      </w:r>
      <w:r w:rsidR="006F0F21">
        <w:t xml:space="preserve"> cet expert était inhabile à témoigner, car il ne répondait pas aux </w:t>
      </w:r>
      <w:r w:rsidR="00282CBB">
        <w:t>exigenc</w:t>
      </w:r>
      <w:r w:rsidR="006F0F21">
        <w:t>es d’object</w:t>
      </w:r>
      <w:r w:rsidR="00282CBB">
        <w:t>iv</w:t>
      </w:r>
      <w:r w:rsidR="006F0F21">
        <w:t>ité et d’impartialité indispensables au statut d’expert.</w:t>
      </w:r>
      <w:r w:rsidR="008B10CE">
        <w:t xml:space="preserve">  Selon la Cour suprême, toutefois, les conclusions du Tribunal des droits de la personne sur l</w:t>
      </w:r>
      <w:r w:rsidR="007B6ABA">
        <w:t xml:space="preserve">’admissibilité du témoignage de l’expert </w:t>
      </w:r>
      <w:r w:rsidR="008B10CE">
        <w:t>n’étaient pas déraisonnables</w:t>
      </w:r>
      <w:r w:rsidR="00664683">
        <w:t xml:space="preserve"> et le témoignage de l’expert était</w:t>
      </w:r>
      <w:r w:rsidR="00E158D1">
        <w:t xml:space="preserve"> donc</w:t>
      </w:r>
      <w:r w:rsidR="00664683">
        <w:t xml:space="preserve"> admissible</w:t>
      </w:r>
      <w:r w:rsidR="008B10CE">
        <w:t>.</w:t>
      </w:r>
      <w:r w:rsidR="00A93E67">
        <w:t xml:space="preserve">  Étant donné cette conclusion, il est difficile d’imaginer une situation où un </w:t>
      </w:r>
      <w:r w:rsidR="005C0A46">
        <w:t>témoignage d’</w:t>
      </w:r>
      <w:r w:rsidR="00A93E67">
        <w:t xml:space="preserve">expert pourrait être jugé </w:t>
      </w:r>
      <w:r w:rsidR="005C0A46">
        <w:t>inadmissible pour raison de manque d’indépendance</w:t>
      </w:r>
      <w:r w:rsidR="00A32BA5">
        <w:t xml:space="preserve"> ou d’impartialité</w:t>
      </w:r>
      <w:r w:rsidR="0000500F">
        <w:t>, sauf peut-être dans les cas les plus extrêmes</w:t>
      </w:r>
      <w:r w:rsidR="00924BA9">
        <w:t>.</w:t>
      </w:r>
    </w:p>
    <w:p w:rsidR="0038279A" w:rsidRPr="002A3965" w:rsidRDefault="008B10CE" w:rsidP="008B10CE">
      <w:pPr>
        <w:pStyle w:val="BodyText"/>
      </w:pPr>
      <w:r>
        <w:t xml:space="preserve">  </w:t>
      </w:r>
      <w:r w:rsidR="006F0F21">
        <w:t xml:space="preserve">  </w:t>
      </w:r>
      <w:r w:rsidR="00314A02">
        <w:t xml:space="preserve"> </w:t>
      </w:r>
    </w:p>
    <w:p w:rsidR="009438C7" w:rsidRDefault="009438C7" w:rsidP="00B13F52">
      <w:pPr>
        <w:pStyle w:val="BodyText"/>
      </w:pPr>
    </w:p>
    <w:p w:rsidR="008C5741" w:rsidRDefault="008C5741" w:rsidP="008C5741">
      <w:pPr>
        <w:spacing w:line="200" w:lineRule="exact"/>
      </w:pPr>
      <w:r w:rsidRPr="008C5741">
        <w:rPr>
          <w:rStyle w:val="zzmpTrailerItem"/>
        </w:rPr>
        <w:t>8208614.2</w:t>
      </w:r>
      <w:r w:rsidRPr="008C5741">
        <w:t xml:space="preserve"> </w:t>
      </w:r>
    </w:p>
    <w:sectPr w:rsidR="008C5741" w:rsidSect="00091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65B" w:rsidRDefault="006E765B" w:rsidP="002D0877">
      <w:r>
        <w:separator/>
      </w:r>
    </w:p>
  </w:endnote>
  <w:endnote w:type="continuationSeparator" w:id="0">
    <w:p w:rsidR="006E765B" w:rsidRDefault="006E765B" w:rsidP="002D0877">
      <w:r>
        <w:continuationSeparator/>
      </w:r>
    </w:p>
  </w:endnote>
  <w:endnote w:type="continuationNotice" w:id="1">
    <w:p w:rsidR="006E765B" w:rsidRDefault="006E7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1D3" w:rsidRDefault="00DC41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1D3" w:rsidRDefault="00DC41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1D3" w:rsidRDefault="00DC4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65B" w:rsidRDefault="006E765B" w:rsidP="002D0877">
      <w:r>
        <w:separator/>
      </w:r>
    </w:p>
  </w:footnote>
  <w:footnote w:type="continuationSeparator" w:id="0">
    <w:p w:rsidR="006E765B" w:rsidRDefault="006E765B" w:rsidP="002D0877">
      <w:r>
        <w:continuationSeparator/>
      </w:r>
    </w:p>
  </w:footnote>
  <w:footnote w:type="continuationNotice" w:id="1">
    <w:p w:rsidR="006E765B" w:rsidRDefault="006E76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1D3" w:rsidRDefault="00DC41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708" w:rsidRDefault="00091708" w:rsidP="00091708">
    <w:pPr>
      <w:pStyle w:val="Header"/>
    </w:pPr>
    <w:r>
      <w:tab/>
      <w:t xml:space="preserve">- </w:t>
    </w:r>
    <w:r>
      <w:fldChar w:fldCharType="begin"/>
    </w:r>
    <w:r>
      <w:instrText xml:space="preserve"> PAGE \* MERGEFORMAT \* MERGEFORMAT </w:instrText>
    </w:r>
    <w:r>
      <w:fldChar w:fldCharType="separate"/>
    </w:r>
    <w:r w:rsidR="00C65846">
      <w:rPr>
        <w:noProof/>
      </w:rPr>
      <w:t>2</w:t>
    </w:r>
    <w:r>
      <w:fldChar w:fldCharType="end"/>
    </w:r>
    <w:r>
      <w:t xml:space="preserve"> -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1D3" w:rsidRDefault="00DC41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3E2"/>
    <w:multiLevelType w:val="singleLevel"/>
    <w:tmpl w:val="A17C7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4B22F8"/>
    <w:multiLevelType w:val="hybridMultilevel"/>
    <w:tmpl w:val="BD9A5EAA"/>
    <w:name w:val="Bullet"/>
    <w:lvl w:ilvl="0" w:tplc="412807C8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866B3"/>
    <w:multiLevelType w:val="singleLevel"/>
    <w:tmpl w:val="69F8C042"/>
    <w:lvl w:ilvl="0">
      <w:start w:val="1"/>
      <w:numFmt w:val="bullet"/>
      <w:pStyle w:val="Bullet"/>
      <w:lvlText w:val=""/>
      <w:lvlJc w:val="left"/>
      <w:pPr>
        <w:tabs>
          <w:tab w:val="num" w:pos="-720"/>
        </w:tabs>
        <w:ind w:left="1440" w:hanging="720"/>
      </w:pPr>
      <w:rPr>
        <w:rFonts w:ascii="Symbol" w:hAnsi="Symbol" w:hint="default"/>
        <w:sz w:val="16"/>
        <w:szCs w:val="1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B6"/>
    <w:rsid w:val="000020D3"/>
    <w:rsid w:val="0000500F"/>
    <w:rsid w:val="00005D23"/>
    <w:rsid w:val="0000601A"/>
    <w:rsid w:val="00014C30"/>
    <w:rsid w:val="00015610"/>
    <w:rsid w:val="000337B9"/>
    <w:rsid w:val="00043AEF"/>
    <w:rsid w:val="00064BA5"/>
    <w:rsid w:val="000753A1"/>
    <w:rsid w:val="00075CDB"/>
    <w:rsid w:val="000878EB"/>
    <w:rsid w:val="0009099C"/>
    <w:rsid w:val="00091708"/>
    <w:rsid w:val="000A6645"/>
    <w:rsid w:val="000B60DA"/>
    <w:rsid w:val="000D189F"/>
    <w:rsid w:val="000E310A"/>
    <w:rsid w:val="000E741F"/>
    <w:rsid w:val="000F0768"/>
    <w:rsid w:val="000F6562"/>
    <w:rsid w:val="00102811"/>
    <w:rsid w:val="00110461"/>
    <w:rsid w:val="00111740"/>
    <w:rsid w:val="001136CB"/>
    <w:rsid w:val="00116EBC"/>
    <w:rsid w:val="001217B9"/>
    <w:rsid w:val="001320D9"/>
    <w:rsid w:val="00135343"/>
    <w:rsid w:val="00143AA8"/>
    <w:rsid w:val="00145209"/>
    <w:rsid w:val="00147092"/>
    <w:rsid w:val="0017278C"/>
    <w:rsid w:val="001734A1"/>
    <w:rsid w:val="00176888"/>
    <w:rsid w:val="001818E0"/>
    <w:rsid w:val="00192AD2"/>
    <w:rsid w:val="00197697"/>
    <w:rsid w:val="001A03BA"/>
    <w:rsid w:val="001A4DF3"/>
    <w:rsid w:val="001B6066"/>
    <w:rsid w:val="001B6737"/>
    <w:rsid w:val="001C0D07"/>
    <w:rsid w:val="001D4586"/>
    <w:rsid w:val="001E1A2B"/>
    <w:rsid w:val="001F139F"/>
    <w:rsid w:val="001F25D5"/>
    <w:rsid w:val="002069B6"/>
    <w:rsid w:val="0021398B"/>
    <w:rsid w:val="00217944"/>
    <w:rsid w:val="00220FE9"/>
    <w:rsid w:val="00223D37"/>
    <w:rsid w:val="00227ABF"/>
    <w:rsid w:val="00231563"/>
    <w:rsid w:val="00231D1C"/>
    <w:rsid w:val="002358C2"/>
    <w:rsid w:val="00253004"/>
    <w:rsid w:val="00256617"/>
    <w:rsid w:val="00257079"/>
    <w:rsid w:val="00264CC7"/>
    <w:rsid w:val="0028108C"/>
    <w:rsid w:val="00282CBB"/>
    <w:rsid w:val="00291171"/>
    <w:rsid w:val="00295230"/>
    <w:rsid w:val="00297E2D"/>
    <w:rsid w:val="002A2B6F"/>
    <w:rsid w:val="002A3965"/>
    <w:rsid w:val="002B47BB"/>
    <w:rsid w:val="002B7F27"/>
    <w:rsid w:val="002C5CA7"/>
    <w:rsid w:val="002D0877"/>
    <w:rsid w:val="002D286F"/>
    <w:rsid w:val="002D3FF9"/>
    <w:rsid w:val="002D5941"/>
    <w:rsid w:val="00302370"/>
    <w:rsid w:val="00313997"/>
    <w:rsid w:val="00314A02"/>
    <w:rsid w:val="00330040"/>
    <w:rsid w:val="00342892"/>
    <w:rsid w:val="00347036"/>
    <w:rsid w:val="00350EAC"/>
    <w:rsid w:val="00357138"/>
    <w:rsid w:val="00376C89"/>
    <w:rsid w:val="0038279A"/>
    <w:rsid w:val="00386CE5"/>
    <w:rsid w:val="00390493"/>
    <w:rsid w:val="00393DA2"/>
    <w:rsid w:val="003A7248"/>
    <w:rsid w:val="003B120C"/>
    <w:rsid w:val="003B37E4"/>
    <w:rsid w:val="003C06E2"/>
    <w:rsid w:val="003C3EED"/>
    <w:rsid w:val="003C675A"/>
    <w:rsid w:val="003E08FB"/>
    <w:rsid w:val="003E1F97"/>
    <w:rsid w:val="003F2BDF"/>
    <w:rsid w:val="0040318A"/>
    <w:rsid w:val="00410CDA"/>
    <w:rsid w:val="004177FB"/>
    <w:rsid w:val="00423CBE"/>
    <w:rsid w:val="00455BF3"/>
    <w:rsid w:val="00464C41"/>
    <w:rsid w:val="00467F1C"/>
    <w:rsid w:val="00472A58"/>
    <w:rsid w:val="0047689F"/>
    <w:rsid w:val="004926CC"/>
    <w:rsid w:val="00492C41"/>
    <w:rsid w:val="00494C7A"/>
    <w:rsid w:val="00496765"/>
    <w:rsid w:val="004967B4"/>
    <w:rsid w:val="004B09F5"/>
    <w:rsid w:val="004C0981"/>
    <w:rsid w:val="004E46F6"/>
    <w:rsid w:val="004E5AA0"/>
    <w:rsid w:val="00504175"/>
    <w:rsid w:val="0052704F"/>
    <w:rsid w:val="00527C0C"/>
    <w:rsid w:val="00534C62"/>
    <w:rsid w:val="00543EFC"/>
    <w:rsid w:val="00551362"/>
    <w:rsid w:val="00565B32"/>
    <w:rsid w:val="00584817"/>
    <w:rsid w:val="00595100"/>
    <w:rsid w:val="005A37EC"/>
    <w:rsid w:val="005B160D"/>
    <w:rsid w:val="005C0A46"/>
    <w:rsid w:val="005C6522"/>
    <w:rsid w:val="005E60A2"/>
    <w:rsid w:val="005F6CC6"/>
    <w:rsid w:val="00614017"/>
    <w:rsid w:val="006219D8"/>
    <w:rsid w:val="00622FC6"/>
    <w:rsid w:val="00623005"/>
    <w:rsid w:val="00626AB3"/>
    <w:rsid w:val="006311CA"/>
    <w:rsid w:val="006320A2"/>
    <w:rsid w:val="0065048C"/>
    <w:rsid w:val="00654C82"/>
    <w:rsid w:val="00664683"/>
    <w:rsid w:val="006806F3"/>
    <w:rsid w:val="006906D5"/>
    <w:rsid w:val="006A4BFB"/>
    <w:rsid w:val="006B222C"/>
    <w:rsid w:val="006B652B"/>
    <w:rsid w:val="006C14EE"/>
    <w:rsid w:val="006C5B75"/>
    <w:rsid w:val="006D137D"/>
    <w:rsid w:val="006E6251"/>
    <w:rsid w:val="006E765B"/>
    <w:rsid w:val="006F0BCA"/>
    <w:rsid w:val="006F0F21"/>
    <w:rsid w:val="006F42BF"/>
    <w:rsid w:val="00703DE6"/>
    <w:rsid w:val="00706F8B"/>
    <w:rsid w:val="007115DF"/>
    <w:rsid w:val="00722A31"/>
    <w:rsid w:val="0073131D"/>
    <w:rsid w:val="00741496"/>
    <w:rsid w:val="007431AC"/>
    <w:rsid w:val="00743E55"/>
    <w:rsid w:val="00767D1E"/>
    <w:rsid w:val="00771300"/>
    <w:rsid w:val="00791037"/>
    <w:rsid w:val="0079508C"/>
    <w:rsid w:val="007A2021"/>
    <w:rsid w:val="007A3805"/>
    <w:rsid w:val="007A5A67"/>
    <w:rsid w:val="007A727E"/>
    <w:rsid w:val="007B5C93"/>
    <w:rsid w:val="007B6ABA"/>
    <w:rsid w:val="007C768C"/>
    <w:rsid w:val="007D133F"/>
    <w:rsid w:val="007D3D1E"/>
    <w:rsid w:val="007E71D7"/>
    <w:rsid w:val="00801F46"/>
    <w:rsid w:val="00803019"/>
    <w:rsid w:val="008069AF"/>
    <w:rsid w:val="00814D94"/>
    <w:rsid w:val="0082448F"/>
    <w:rsid w:val="008273B7"/>
    <w:rsid w:val="00835D04"/>
    <w:rsid w:val="008603FE"/>
    <w:rsid w:val="008657E1"/>
    <w:rsid w:val="00874E59"/>
    <w:rsid w:val="0088559B"/>
    <w:rsid w:val="00886C08"/>
    <w:rsid w:val="00897392"/>
    <w:rsid w:val="008A287F"/>
    <w:rsid w:val="008A5F26"/>
    <w:rsid w:val="008B10CE"/>
    <w:rsid w:val="008B3CE6"/>
    <w:rsid w:val="008B3D9C"/>
    <w:rsid w:val="008B6213"/>
    <w:rsid w:val="008C33A9"/>
    <w:rsid w:val="008C5741"/>
    <w:rsid w:val="008D0761"/>
    <w:rsid w:val="008D0C92"/>
    <w:rsid w:val="008D334A"/>
    <w:rsid w:val="008D3ACD"/>
    <w:rsid w:val="008D6DC6"/>
    <w:rsid w:val="008D7C82"/>
    <w:rsid w:val="008E5B60"/>
    <w:rsid w:val="008E5C32"/>
    <w:rsid w:val="008E7B4C"/>
    <w:rsid w:val="008F1B56"/>
    <w:rsid w:val="008F2DAC"/>
    <w:rsid w:val="00903C57"/>
    <w:rsid w:val="0091462A"/>
    <w:rsid w:val="009148AE"/>
    <w:rsid w:val="009170E4"/>
    <w:rsid w:val="0091760C"/>
    <w:rsid w:val="00917F03"/>
    <w:rsid w:val="00924BA9"/>
    <w:rsid w:val="009312E2"/>
    <w:rsid w:val="0094069E"/>
    <w:rsid w:val="009438C7"/>
    <w:rsid w:val="00964CF2"/>
    <w:rsid w:val="009758FA"/>
    <w:rsid w:val="00987804"/>
    <w:rsid w:val="00995669"/>
    <w:rsid w:val="009A1788"/>
    <w:rsid w:val="009A51B1"/>
    <w:rsid w:val="009A6C5C"/>
    <w:rsid w:val="009B358B"/>
    <w:rsid w:val="009C3436"/>
    <w:rsid w:val="009C6F4B"/>
    <w:rsid w:val="009C74A0"/>
    <w:rsid w:val="009D373F"/>
    <w:rsid w:val="009F0E43"/>
    <w:rsid w:val="00A06027"/>
    <w:rsid w:val="00A32BA5"/>
    <w:rsid w:val="00A34AB7"/>
    <w:rsid w:val="00A37275"/>
    <w:rsid w:val="00A423A4"/>
    <w:rsid w:val="00A5661C"/>
    <w:rsid w:val="00A702CD"/>
    <w:rsid w:val="00A70350"/>
    <w:rsid w:val="00A81E3E"/>
    <w:rsid w:val="00A93E67"/>
    <w:rsid w:val="00AB225A"/>
    <w:rsid w:val="00AF1526"/>
    <w:rsid w:val="00AF33E3"/>
    <w:rsid w:val="00B03C33"/>
    <w:rsid w:val="00B07A13"/>
    <w:rsid w:val="00B128AF"/>
    <w:rsid w:val="00B13015"/>
    <w:rsid w:val="00B13F52"/>
    <w:rsid w:val="00B21AD2"/>
    <w:rsid w:val="00B262EF"/>
    <w:rsid w:val="00B36ABB"/>
    <w:rsid w:val="00B6397E"/>
    <w:rsid w:val="00B63B59"/>
    <w:rsid w:val="00B71362"/>
    <w:rsid w:val="00B75F4D"/>
    <w:rsid w:val="00B8089B"/>
    <w:rsid w:val="00B80FCC"/>
    <w:rsid w:val="00B863B4"/>
    <w:rsid w:val="00B86D03"/>
    <w:rsid w:val="00B8709E"/>
    <w:rsid w:val="00B9290A"/>
    <w:rsid w:val="00BA1A2F"/>
    <w:rsid w:val="00BA26BA"/>
    <w:rsid w:val="00BB20B7"/>
    <w:rsid w:val="00BB3993"/>
    <w:rsid w:val="00BC1C7B"/>
    <w:rsid w:val="00BD37B7"/>
    <w:rsid w:val="00BD423F"/>
    <w:rsid w:val="00BE104E"/>
    <w:rsid w:val="00BE3FDD"/>
    <w:rsid w:val="00BE61C2"/>
    <w:rsid w:val="00BF0C8E"/>
    <w:rsid w:val="00BF1742"/>
    <w:rsid w:val="00C1022A"/>
    <w:rsid w:val="00C14C8C"/>
    <w:rsid w:val="00C22BD7"/>
    <w:rsid w:val="00C25FC8"/>
    <w:rsid w:val="00C31481"/>
    <w:rsid w:val="00C46121"/>
    <w:rsid w:val="00C501CA"/>
    <w:rsid w:val="00C65846"/>
    <w:rsid w:val="00C72BC3"/>
    <w:rsid w:val="00C76F62"/>
    <w:rsid w:val="00C869ED"/>
    <w:rsid w:val="00C87EA1"/>
    <w:rsid w:val="00C90E10"/>
    <w:rsid w:val="00CA2E36"/>
    <w:rsid w:val="00CA42B2"/>
    <w:rsid w:val="00CA4E37"/>
    <w:rsid w:val="00CB6FD6"/>
    <w:rsid w:val="00CC33B6"/>
    <w:rsid w:val="00CD7440"/>
    <w:rsid w:val="00D00BD7"/>
    <w:rsid w:val="00D0100D"/>
    <w:rsid w:val="00D1464B"/>
    <w:rsid w:val="00D16C02"/>
    <w:rsid w:val="00D221FA"/>
    <w:rsid w:val="00D223B5"/>
    <w:rsid w:val="00D35D57"/>
    <w:rsid w:val="00D36D3C"/>
    <w:rsid w:val="00D40880"/>
    <w:rsid w:val="00D440A7"/>
    <w:rsid w:val="00D5096E"/>
    <w:rsid w:val="00D521CD"/>
    <w:rsid w:val="00D52D92"/>
    <w:rsid w:val="00D53D80"/>
    <w:rsid w:val="00D77956"/>
    <w:rsid w:val="00D8450A"/>
    <w:rsid w:val="00D97BF5"/>
    <w:rsid w:val="00DA3F8C"/>
    <w:rsid w:val="00DA6765"/>
    <w:rsid w:val="00DB0070"/>
    <w:rsid w:val="00DB0DEA"/>
    <w:rsid w:val="00DB494B"/>
    <w:rsid w:val="00DB556F"/>
    <w:rsid w:val="00DB7773"/>
    <w:rsid w:val="00DC41D3"/>
    <w:rsid w:val="00DC44FF"/>
    <w:rsid w:val="00DD3143"/>
    <w:rsid w:val="00DD5CD5"/>
    <w:rsid w:val="00DE0241"/>
    <w:rsid w:val="00DE0808"/>
    <w:rsid w:val="00DE38A7"/>
    <w:rsid w:val="00E042A7"/>
    <w:rsid w:val="00E07D66"/>
    <w:rsid w:val="00E158D1"/>
    <w:rsid w:val="00E23837"/>
    <w:rsid w:val="00E328BA"/>
    <w:rsid w:val="00E40C48"/>
    <w:rsid w:val="00E42B27"/>
    <w:rsid w:val="00E4392C"/>
    <w:rsid w:val="00E45933"/>
    <w:rsid w:val="00E47987"/>
    <w:rsid w:val="00E52ED8"/>
    <w:rsid w:val="00E5496B"/>
    <w:rsid w:val="00E74AE3"/>
    <w:rsid w:val="00E75FB3"/>
    <w:rsid w:val="00E85F89"/>
    <w:rsid w:val="00EA114A"/>
    <w:rsid w:val="00EA56E2"/>
    <w:rsid w:val="00ED299A"/>
    <w:rsid w:val="00EE559F"/>
    <w:rsid w:val="00EF3572"/>
    <w:rsid w:val="00EF3CB4"/>
    <w:rsid w:val="00F053FE"/>
    <w:rsid w:val="00F05B52"/>
    <w:rsid w:val="00F06ADC"/>
    <w:rsid w:val="00F30A6A"/>
    <w:rsid w:val="00F537F5"/>
    <w:rsid w:val="00F57CB2"/>
    <w:rsid w:val="00F749EC"/>
    <w:rsid w:val="00F8251C"/>
    <w:rsid w:val="00F913EA"/>
    <w:rsid w:val="00F96828"/>
    <w:rsid w:val="00FA1767"/>
    <w:rsid w:val="00FA4A0E"/>
    <w:rsid w:val="00FA66E8"/>
    <w:rsid w:val="00FC7990"/>
    <w:rsid w:val="00F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6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9B6"/>
    <w:rPr>
      <w:rFonts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069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069B6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xSpacing">
    <w:name w:val="1.5x Spacing"/>
    <w:aliases w:val="bt5"/>
    <w:basedOn w:val="BodyText"/>
    <w:rsid w:val="002069B6"/>
    <w:pPr>
      <w:spacing w:after="0" w:line="360" w:lineRule="auto"/>
    </w:pPr>
  </w:style>
  <w:style w:type="paragraph" w:styleId="BodyText">
    <w:name w:val="Body Text"/>
    <w:link w:val="BodyTextChar"/>
    <w:rsid w:val="002069B6"/>
    <w:pPr>
      <w:spacing w:after="240"/>
      <w:jc w:val="both"/>
    </w:pPr>
    <w:rPr>
      <w:rFonts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7278C"/>
    <w:rPr>
      <w:rFonts w:cs="Times New Roman"/>
      <w:szCs w:val="20"/>
    </w:rPr>
  </w:style>
  <w:style w:type="paragraph" w:customStyle="1" w:styleId="2xspacing">
    <w:name w:val="2x spacing"/>
    <w:aliases w:val="bt2"/>
    <w:basedOn w:val="BodyText"/>
    <w:rsid w:val="002069B6"/>
    <w:pPr>
      <w:spacing w:after="0" w:line="480" w:lineRule="auto"/>
    </w:pPr>
  </w:style>
  <w:style w:type="paragraph" w:customStyle="1" w:styleId="BodyTextSingle">
    <w:name w:val="Body Text Single"/>
    <w:aliases w:val="btsp"/>
    <w:basedOn w:val="BodyText"/>
    <w:rsid w:val="002069B6"/>
    <w:pPr>
      <w:spacing w:after="0"/>
    </w:pPr>
  </w:style>
  <w:style w:type="paragraph" w:customStyle="1" w:styleId="BodyTextCentred">
    <w:name w:val="Body Text Centred"/>
    <w:basedOn w:val="BodyText"/>
    <w:next w:val="BodyText"/>
    <w:rsid w:val="002069B6"/>
    <w:pPr>
      <w:jc w:val="center"/>
    </w:pPr>
  </w:style>
  <w:style w:type="paragraph" w:customStyle="1" w:styleId="Bold">
    <w:name w:val="Bold"/>
    <w:aliases w:val="bp"/>
    <w:basedOn w:val="BodyText"/>
    <w:next w:val="BodyText"/>
    <w:link w:val="BoldChar"/>
    <w:rsid w:val="002069B6"/>
    <w:rPr>
      <w:b/>
    </w:rPr>
  </w:style>
  <w:style w:type="character" w:customStyle="1" w:styleId="BoldChar">
    <w:name w:val="Bold Char"/>
    <w:basedOn w:val="BodyTextChar"/>
    <w:link w:val="Bold"/>
    <w:rsid w:val="0017278C"/>
    <w:rPr>
      <w:rFonts w:cs="Times New Roman"/>
      <w:b/>
      <w:szCs w:val="20"/>
    </w:rPr>
  </w:style>
  <w:style w:type="paragraph" w:customStyle="1" w:styleId="Bolditalics">
    <w:name w:val="Bold italics"/>
    <w:aliases w:val="bip"/>
    <w:basedOn w:val="BodyText"/>
    <w:next w:val="BodyText"/>
    <w:link w:val="BolditalicsChar"/>
    <w:rsid w:val="002069B6"/>
    <w:rPr>
      <w:b/>
      <w:i/>
    </w:rPr>
  </w:style>
  <w:style w:type="character" w:customStyle="1" w:styleId="BolditalicsChar">
    <w:name w:val="Bold italics Char"/>
    <w:basedOn w:val="BodyTextChar"/>
    <w:link w:val="Bolditalics"/>
    <w:rsid w:val="0017278C"/>
    <w:rPr>
      <w:rFonts w:cs="Times New Roman"/>
      <w:b/>
      <w:i/>
      <w:szCs w:val="20"/>
    </w:rPr>
  </w:style>
  <w:style w:type="paragraph" w:customStyle="1" w:styleId="Bullet">
    <w:name w:val="Bullet"/>
    <w:aliases w:val="bucp"/>
    <w:basedOn w:val="BodyText"/>
    <w:rsid w:val="002069B6"/>
    <w:pPr>
      <w:numPr>
        <w:numId w:val="2"/>
      </w:numPr>
      <w:tabs>
        <w:tab w:val="clear" w:pos="-720"/>
        <w:tab w:val="num" w:pos="360"/>
        <w:tab w:val="left" w:pos="720"/>
      </w:tabs>
      <w:ind w:left="360" w:hanging="360"/>
    </w:pPr>
  </w:style>
  <w:style w:type="paragraph" w:customStyle="1" w:styleId="DoubleIndent5">
    <w:name w:val="Double Indent .5"/>
    <w:aliases w:val="dip"/>
    <w:basedOn w:val="BodyText"/>
    <w:rsid w:val="002069B6"/>
    <w:pPr>
      <w:ind w:left="720" w:right="720"/>
    </w:pPr>
  </w:style>
  <w:style w:type="paragraph" w:customStyle="1" w:styleId="DoubleIndent1">
    <w:name w:val="Double Indent 1&quot;"/>
    <w:aliases w:val="di1p"/>
    <w:basedOn w:val="DoubleIndent5"/>
    <w:rsid w:val="002069B6"/>
    <w:pPr>
      <w:ind w:left="1440" w:right="1440"/>
    </w:pPr>
  </w:style>
  <w:style w:type="paragraph" w:customStyle="1" w:styleId="DoubleIndent15">
    <w:name w:val="Double Indent 1.5"/>
    <w:aliases w:val="di15p"/>
    <w:basedOn w:val="DoubleIndent5"/>
    <w:rsid w:val="002069B6"/>
    <w:pPr>
      <w:ind w:left="2160" w:right="2160"/>
    </w:pPr>
  </w:style>
  <w:style w:type="paragraph" w:customStyle="1" w:styleId="Doubleindent10pt">
    <w:name w:val="Double indent 10pt"/>
    <w:aliases w:val="di10p"/>
    <w:basedOn w:val="BodyText"/>
    <w:next w:val="BodyText"/>
    <w:rsid w:val="002069B6"/>
    <w:pPr>
      <w:ind w:left="720" w:right="720"/>
    </w:pPr>
    <w:rPr>
      <w:sz w:val="20"/>
    </w:rPr>
  </w:style>
  <w:style w:type="paragraph" w:customStyle="1" w:styleId="Doubleunderline">
    <w:name w:val="Double underline"/>
    <w:aliases w:val="dup"/>
    <w:basedOn w:val="BodyText"/>
    <w:next w:val="BodyText"/>
    <w:link w:val="DoubleunderlineChar"/>
    <w:rsid w:val="002069B6"/>
    <w:rPr>
      <w:u w:val="double"/>
    </w:rPr>
  </w:style>
  <w:style w:type="character" w:customStyle="1" w:styleId="DoubleunderlineChar">
    <w:name w:val="Double underline Char"/>
    <w:basedOn w:val="BodyTextChar"/>
    <w:link w:val="Doubleunderline"/>
    <w:rsid w:val="0017278C"/>
    <w:rPr>
      <w:rFonts w:cs="Times New Roman"/>
      <w:szCs w:val="20"/>
      <w:u w:val="double"/>
    </w:rPr>
  </w:style>
  <w:style w:type="paragraph" w:customStyle="1" w:styleId="ExhibitHeading">
    <w:name w:val="Exhibit Heading"/>
    <w:basedOn w:val="Normal"/>
    <w:next w:val="BodyText"/>
    <w:uiPriority w:val="42"/>
    <w:rsid w:val="0017278C"/>
    <w:pPr>
      <w:spacing w:after="480"/>
      <w:jc w:val="center"/>
    </w:pPr>
    <w:rPr>
      <w:b/>
      <w:bCs/>
      <w:caps/>
    </w:rPr>
  </w:style>
  <w:style w:type="paragraph" w:customStyle="1" w:styleId="Firstlineindent">
    <w:name w:val="First line indent"/>
    <w:aliases w:val="flip"/>
    <w:basedOn w:val="BodyText"/>
    <w:rsid w:val="002069B6"/>
    <w:pPr>
      <w:ind w:firstLine="1440"/>
    </w:pPr>
  </w:style>
  <w:style w:type="paragraph" w:customStyle="1" w:styleId="Headingcentered">
    <w:name w:val="Heading centered"/>
    <w:basedOn w:val="Normal"/>
    <w:next w:val="BodyText"/>
    <w:uiPriority w:val="18"/>
    <w:qFormat/>
    <w:rsid w:val="0017278C"/>
    <w:pPr>
      <w:spacing w:after="240"/>
      <w:jc w:val="center"/>
    </w:pPr>
    <w:rPr>
      <w:b/>
      <w:caps/>
      <w:sz w:val="28"/>
    </w:rPr>
  </w:style>
  <w:style w:type="paragraph" w:customStyle="1" w:styleId="Headingleft">
    <w:name w:val="Heading left"/>
    <w:aliases w:val="hlp"/>
    <w:basedOn w:val="Heading2"/>
    <w:next w:val="BodyText"/>
    <w:rsid w:val="002069B6"/>
    <w:pPr>
      <w:spacing w:before="0" w:after="240"/>
    </w:pPr>
    <w:rPr>
      <w:rFonts w:ascii="Times New Roman" w:hAnsi="Times New Roman"/>
      <w:i w:val="0"/>
    </w:rPr>
  </w:style>
  <w:style w:type="paragraph" w:customStyle="1" w:styleId="Indent5">
    <w:name w:val="Indent .5"/>
    <w:aliases w:val="pip"/>
    <w:basedOn w:val="BodyText"/>
    <w:rsid w:val="002069B6"/>
    <w:pPr>
      <w:ind w:left="720"/>
    </w:pPr>
  </w:style>
  <w:style w:type="paragraph" w:customStyle="1" w:styleId="Indent1">
    <w:name w:val="Indent 1"/>
    <w:aliases w:val="pi1p"/>
    <w:basedOn w:val="BodyText"/>
    <w:rsid w:val="002069B6"/>
    <w:pPr>
      <w:ind w:left="1440"/>
    </w:pPr>
  </w:style>
  <w:style w:type="paragraph" w:customStyle="1" w:styleId="Indent15">
    <w:name w:val="Indent 1.5"/>
    <w:basedOn w:val="BodyText"/>
    <w:uiPriority w:val="14"/>
    <w:qFormat/>
    <w:rsid w:val="0017278C"/>
    <w:pPr>
      <w:ind w:left="2160"/>
    </w:pPr>
  </w:style>
  <w:style w:type="paragraph" w:customStyle="1" w:styleId="Italics">
    <w:name w:val="Italics"/>
    <w:aliases w:val="ip"/>
    <w:basedOn w:val="BodyText"/>
    <w:next w:val="BodyText"/>
    <w:link w:val="ItalicsChar"/>
    <w:rsid w:val="002069B6"/>
    <w:rPr>
      <w:i/>
    </w:rPr>
  </w:style>
  <w:style w:type="character" w:customStyle="1" w:styleId="ItalicsChar">
    <w:name w:val="Italics Char"/>
    <w:basedOn w:val="BodyTextChar"/>
    <w:link w:val="Italics"/>
    <w:rsid w:val="0017278C"/>
    <w:rPr>
      <w:rFonts w:cs="Times New Roman"/>
      <w:i/>
      <w:szCs w:val="20"/>
    </w:rPr>
  </w:style>
  <w:style w:type="paragraph" w:styleId="NoSpacing">
    <w:name w:val="No Spacing"/>
    <w:uiPriority w:val="98"/>
    <w:rsid w:val="0017278C"/>
    <w:rPr>
      <w:rFonts w:cs="Times New Roman"/>
      <w:szCs w:val="20"/>
    </w:rPr>
  </w:style>
  <w:style w:type="paragraph" w:styleId="Quote">
    <w:name w:val="Quote"/>
    <w:basedOn w:val="Normal"/>
    <w:next w:val="Normal"/>
    <w:link w:val="QuoteChar"/>
    <w:uiPriority w:val="16"/>
    <w:rsid w:val="0017278C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uiPriority w:val="16"/>
    <w:rsid w:val="0017278C"/>
    <w:rPr>
      <w:rFonts w:eastAsia="Times New Roman" w:cs="Times New Roman"/>
      <w:szCs w:val="20"/>
      <w:lang w:val="en-CA"/>
    </w:rPr>
  </w:style>
  <w:style w:type="paragraph" w:customStyle="1" w:styleId="Rightjustify">
    <w:name w:val="Right justify"/>
    <w:aliases w:val="rjp"/>
    <w:basedOn w:val="BodyText"/>
    <w:rsid w:val="002069B6"/>
    <w:pPr>
      <w:jc w:val="right"/>
    </w:pPr>
  </w:style>
  <w:style w:type="paragraph" w:customStyle="1" w:styleId="Rightjustifycaps">
    <w:name w:val="Right justify caps"/>
    <w:aliases w:val="rjcp"/>
    <w:basedOn w:val="Rightjustify"/>
    <w:next w:val="BodyText"/>
    <w:rsid w:val="002069B6"/>
    <w:rPr>
      <w:caps/>
    </w:rPr>
  </w:style>
  <w:style w:type="paragraph" w:customStyle="1" w:styleId="Tablecolumn">
    <w:name w:val="Table column"/>
    <w:aliases w:val="tch"/>
    <w:basedOn w:val="Tabletext"/>
    <w:rsid w:val="002069B6"/>
    <w:pPr>
      <w:jc w:val="center"/>
    </w:pPr>
    <w:rPr>
      <w:b/>
      <w:caps/>
    </w:rPr>
  </w:style>
  <w:style w:type="paragraph" w:customStyle="1" w:styleId="Tablerow">
    <w:name w:val="Table row"/>
    <w:aliases w:val="trh"/>
    <w:basedOn w:val="Tabletext"/>
    <w:rsid w:val="002069B6"/>
    <w:rPr>
      <w:b/>
    </w:rPr>
  </w:style>
  <w:style w:type="paragraph" w:customStyle="1" w:styleId="Tabletext">
    <w:name w:val="Table text"/>
    <w:aliases w:val="tt"/>
    <w:basedOn w:val="BodyText"/>
    <w:rsid w:val="002069B6"/>
    <w:pPr>
      <w:spacing w:after="0"/>
      <w:jc w:val="left"/>
    </w:pPr>
    <w:rPr>
      <w:szCs w:val="24"/>
    </w:rPr>
  </w:style>
  <w:style w:type="paragraph" w:customStyle="1" w:styleId="TitlePageDate">
    <w:name w:val="Title Page Date"/>
    <w:basedOn w:val="Normal"/>
    <w:uiPriority w:val="41"/>
    <w:rsid w:val="0017278C"/>
    <w:pPr>
      <w:spacing w:before="720"/>
      <w:jc w:val="center"/>
    </w:pPr>
    <w:rPr>
      <w:b/>
      <w:caps/>
    </w:rPr>
  </w:style>
  <w:style w:type="paragraph" w:customStyle="1" w:styleId="TitlePageDocument">
    <w:name w:val="Title Page Document"/>
    <w:basedOn w:val="Normal"/>
    <w:uiPriority w:val="41"/>
    <w:rsid w:val="0017278C"/>
    <w:pPr>
      <w:jc w:val="center"/>
    </w:pPr>
    <w:rPr>
      <w:b/>
      <w:bCs/>
      <w:caps/>
    </w:rPr>
  </w:style>
  <w:style w:type="paragraph" w:customStyle="1" w:styleId="TitlePageParty">
    <w:name w:val="Title Page Party"/>
    <w:basedOn w:val="Normal"/>
    <w:uiPriority w:val="41"/>
    <w:rsid w:val="0017278C"/>
    <w:pPr>
      <w:spacing w:before="720"/>
      <w:jc w:val="center"/>
    </w:pPr>
    <w:rPr>
      <w:b/>
      <w:caps/>
    </w:rPr>
  </w:style>
  <w:style w:type="paragraph" w:customStyle="1" w:styleId="Underline">
    <w:name w:val="Underline"/>
    <w:aliases w:val="up"/>
    <w:basedOn w:val="BodyText"/>
    <w:next w:val="BodyText"/>
    <w:link w:val="UnderlineChar"/>
    <w:rsid w:val="002069B6"/>
    <w:rPr>
      <w:u w:val="single"/>
    </w:rPr>
  </w:style>
  <w:style w:type="character" w:customStyle="1" w:styleId="UnderlineChar">
    <w:name w:val="Underline Char"/>
    <w:basedOn w:val="BodyTextChar"/>
    <w:link w:val="Underline"/>
    <w:rsid w:val="0017278C"/>
    <w:rPr>
      <w:rFonts w:cs="Times New Roman"/>
      <w:szCs w:val="20"/>
      <w:u w:val="single"/>
    </w:rPr>
  </w:style>
  <w:style w:type="table" w:styleId="TableGrid">
    <w:name w:val="Table Grid"/>
    <w:basedOn w:val="TableNormal"/>
    <w:uiPriority w:val="59"/>
    <w:rsid w:val="0090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903C5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">
    <w:name w:val="Light List"/>
    <w:basedOn w:val="TableNormal"/>
    <w:uiPriority w:val="61"/>
    <w:rsid w:val="00903C5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D08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877"/>
    <w:rPr>
      <w:rFonts w:eastAsia="Times New Roman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2D08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87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877"/>
    <w:rPr>
      <w:rFonts w:eastAsia="Times New Roman" w:cs="Times New Roman"/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2D0877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53D8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3D80"/>
    <w:rPr>
      <w:rFonts w:ascii="Arial" w:hAnsi="Arial" w:cs="Times New Roman"/>
      <w:b/>
      <w:i/>
      <w:szCs w:val="20"/>
    </w:rPr>
  </w:style>
  <w:style w:type="paragraph" w:styleId="Footer">
    <w:name w:val="footer"/>
    <w:basedOn w:val="Normal"/>
    <w:link w:val="FooterChar"/>
    <w:rsid w:val="00206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3D80"/>
    <w:rPr>
      <w:rFonts w:cs="Times New Roman"/>
      <w:szCs w:val="20"/>
    </w:rPr>
  </w:style>
  <w:style w:type="paragraph" w:styleId="Header">
    <w:name w:val="header"/>
    <w:basedOn w:val="Normal"/>
    <w:link w:val="HeaderChar"/>
    <w:rsid w:val="00206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3D80"/>
    <w:rPr>
      <w:rFonts w:cs="Times New Roman"/>
      <w:szCs w:val="20"/>
    </w:rPr>
  </w:style>
  <w:style w:type="paragraph" w:customStyle="1" w:styleId="Headingcentred">
    <w:name w:val="Heading centred"/>
    <w:aliases w:val="hcp"/>
    <w:basedOn w:val="Heading1"/>
    <w:next w:val="BodyText"/>
    <w:rsid w:val="002069B6"/>
    <w:pPr>
      <w:spacing w:before="0" w:after="240"/>
      <w:jc w:val="center"/>
    </w:pPr>
    <w:rPr>
      <w:rFonts w:ascii="Times New Roman" w:hAnsi="Times New Roman"/>
      <w:caps/>
      <w:sz w:val="28"/>
    </w:rPr>
  </w:style>
  <w:style w:type="paragraph" w:customStyle="1" w:styleId="Signatures">
    <w:name w:val="Signatures"/>
    <w:aliases w:val="sp"/>
    <w:basedOn w:val="BodyText"/>
    <w:next w:val="BodyText"/>
    <w:rsid w:val="002069B6"/>
    <w:pPr>
      <w:spacing w:after="480"/>
      <w:ind w:left="4248"/>
    </w:pPr>
  </w:style>
  <w:style w:type="character" w:customStyle="1" w:styleId="zzmpTrailerItem">
    <w:name w:val="zzmpTrailerItem"/>
    <w:basedOn w:val="DefaultParagraphFont"/>
    <w:rsid w:val="008C5741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64F0C3A-7D72-48A6-9734-69EF3753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2015-06-28T15:02:00Z</dcterms:created>
  <dcterms:modified xsi:type="dcterms:W3CDTF">2015-06-28T15:02:00Z</dcterms:modified>
</cp:coreProperties>
</file>